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263C">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开封市城市</w:t>
      </w:r>
      <w:r>
        <w:rPr>
          <w:rFonts w:hint="eastAsia" w:ascii="方正小标宋简体" w:hAnsi="方正小标宋简体" w:eastAsia="方正小标宋简体" w:cs="方正小标宋简体"/>
          <w:b/>
          <w:bCs/>
          <w:sz w:val="44"/>
          <w:szCs w:val="44"/>
          <w:lang w:val="en-US" w:eastAsia="zh-CN"/>
        </w:rPr>
        <w:t>更新规划土地管理</w:t>
      </w:r>
    </w:p>
    <w:p w14:paraId="2BD1823F">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实施细则（试行）征求意见稿</w:t>
      </w:r>
    </w:p>
    <w:p w14:paraId="3348AF13">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default" w:ascii="方正小标宋简体" w:hAnsi="方正小标宋简体" w:eastAsia="方正小标宋简体" w:cs="方正小标宋简体"/>
          <w:b/>
          <w:bCs/>
          <w:sz w:val="44"/>
          <w:szCs w:val="44"/>
          <w:lang w:val="en-US" w:eastAsia="zh-CN"/>
        </w:rPr>
      </w:pPr>
    </w:p>
    <w:p w14:paraId="3912BADD">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14:paraId="5176584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第一条 </w:t>
      </w:r>
      <w:r>
        <w:rPr>
          <w:rFonts w:hint="eastAsia" w:ascii="仿宋" w:hAnsi="仿宋" w:eastAsia="仿宋" w:cs="仿宋"/>
          <w:sz w:val="32"/>
          <w:szCs w:val="32"/>
          <w:lang w:val="en-US" w:eastAsia="zh-CN"/>
        </w:rPr>
        <w:t>为规范城市更新活动，创新城市发展模式，改善市政基础设施，提升公共服务设施和民生福祉，优化产业布局，推进开封市城市更新实施，依据《中共中央办公厅 国务院办公厅关于持续推进城市更新行动的意见》（中办发〔2025〕34号）、《自然资源部办公厅关于印发〈支持城市更新的规划与土地政策指引（2023版）〉的通知》（自然资办发〔2023〕47号）、《自然资源部 住房城乡建设部关于进一步支持城市更新行动若干措施的通知》（自然资发〔2025〕226号）等文件，结合我市实际，制定本细则。</w:t>
      </w:r>
    </w:p>
    <w:p w14:paraId="05F7CB0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第二条 </w:t>
      </w:r>
      <w:r>
        <w:rPr>
          <w:rFonts w:hint="eastAsia" w:ascii="仿宋" w:hAnsi="仿宋" w:eastAsia="仿宋" w:cs="仿宋"/>
          <w:sz w:val="32"/>
          <w:szCs w:val="32"/>
          <w:lang w:val="en-US" w:eastAsia="zh-CN"/>
        </w:rPr>
        <w:t>本市中心城区范围内的城市更新活动（不包含城中村、土地一级开发、商品住宅开发）及其</w:t>
      </w:r>
      <w:r>
        <w:rPr>
          <w:rFonts w:hint="eastAsia" w:ascii="仿宋" w:hAnsi="仿宋" w:eastAsia="仿宋" w:cs="仿宋"/>
          <w:sz w:val="32"/>
          <w:szCs w:val="32"/>
          <w:u w:val="none"/>
          <w:lang w:val="en-US" w:eastAsia="zh-CN"/>
        </w:rPr>
        <w:t>规划土地管理</w:t>
      </w:r>
      <w:r>
        <w:rPr>
          <w:rFonts w:hint="eastAsia" w:ascii="仿宋" w:hAnsi="仿宋" w:eastAsia="仿宋" w:cs="仿宋"/>
          <w:sz w:val="32"/>
          <w:szCs w:val="32"/>
          <w:lang w:val="en-US" w:eastAsia="zh-CN"/>
        </w:rPr>
        <w:t>，适用本细则。</w:t>
      </w:r>
    </w:p>
    <w:p w14:paraId="714B989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第三条 </w:t>
      </w:r>
      <w:r>
        <w:rPr>
          <w:rFonts w:hint="eastAsia" w:ascii="仿宋" w:hAnsi="仿宋" w:eastAsia="仿宋" w:cs="仿宋"/>
          <w:sz w:val="32"/>
          <w:szCs w:val="32"/>
          <w:lang w:val="en-US" w:eastAsia="zh-CN"/>
        </w:rPr>
        <w:t>城市更新应当遵循规划引领、民生优先，政府统筹、市场运作，多元参与、共建共享的原则，尊重城市发展规律，妥善处理与城市交通、市政基础设施和公共服务设施等城市综合承载力的关系。</w:t>
      </w:r>
    </w:p>
    <w:p w14:paraId="160524F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本细则所称城市更新，是指依据国土空间规划，对城市中存量用地、存量建筑开展的优化空间形态、完善片区功能、增强安全韧性、改善居住条件、提升环境品质、保护传承历史文化、促进城市高质量发展的活动。</w:t>
      </w:r>
    </w:p>
    <w:p w14:paraId="0659555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（一）按照项目性质分为以下三种类型：</w:t>
      </w:r>
    </w:p>
    <w:p w14:paraId="72D7E62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居住品质提升类。对建筑密度较大、安全隐患较多、使用功能不完善、配套设施不齐全等以居住功能为主的城市地段，进行居住品质提升的城市更新（包含住宅类城市更新项目和城市居民存量零星住房更新建设）； </w:t>
      </w:r>
    </w:p>
    <w:p w14:paraId="4C6D11A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2.工商提质增效类。对不符合发展导向、土地利用效率低下、区域活力不足的老旧商业服务设施、老旧工业园区、厂区等区域进行活力提升和产业转型的城市更新； </w:t>
      </w:r>
    </w:p>
    <w:p w14:paraId="383E5D1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3.城市设施完善类。对年久失修、功能落后的市政基础设施、公共服务设施、城市交通路网、城市公共空间等设施进行升级改造、提升城市综合承载力的城市更新。</w:t>
      </w:r>
    </w:p>
    <w:p w14:paraId="090BA80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（二）按照实施方式分为以下两种类型：</w:t>
      </w:r>
    </w:p>
    <w:p w14:paraId="12C4C4F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1.保留利用类。在不改变建筑面积、主体结构的前提下，通过对现状建筑物进行保护、修缮、装饰装修、整治、改变使用</w:t>
      </w:r>
      <w:r>
        <w:rPr>
          <w:rFonts w:hint="eastAsia" w:ascii="仿宋" w:hAnsi="仿宋" w:eastAsia="仿宋" w:cs="仿宋"/>
          <w:color w:val="auto"/>
          <w:sz w:val="32"/>
          <w:szCs w:val="32"/>
          <w:lang w:val="en-US" w:eastAsia="zh-CN"/>
        </w:rPr>
        <w:t>功能等</w:t>
      </w:r>
      <w:r>
        <w:rPr>
          <w:rFonts w:hint="eastAsia" w:ascii="仿宋" w:hAnsi="仿宋" w:eastAsia="仿宋" w:cs="仿宋"/>
          <w:sz w:val="32"/>
          <w:szCs w:val="32"/>
          <w:lang w:val="en-US" w:eastAsia="zh-CN"/>
        </w:rPr>
        <w:t xml:space="preserve">方式提升建筑和环境质量的活动。 </w:t>
      </w:r>
    </w:p>
    <w:p w14:paraId="3D4E7D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2.拆旧建新类。对城市中现状布局散乱、利用粗放、建筑危旧、用途不合理、不符合城市发展要求的单体建筑或者建筑群落，通过局部或全部拆除后进行新、改、扩建</w:t>
      </w:r>
      <w:r>
        <w:rPr>
          <w:rFonts w:hint="eastAsia" w:ascii="仿宋" w:hAnsi="仿宋" w:eastAsia="仿宋" w:cs="仿宋"/>
          <w:color w:val="auto"/>
          <w:sz w:val="32"/>
          <w:szCs w:val="32"/>
          <w:lang w:val="en-US" w:eastAsia="zh-CN"/>
        </w:rPr>
        <w:t>（含拆除重建）</w:t>
      </w:r>
      <w:r>
        <w:rPr>
          <w:rFonts w:hint="eastAsia" w:ascii="仿宋" w:hAnsi="仿宋" w:eastAsia="仿宋" w:cs="仿宋"/>
          <w:sz w:val="32"/>
          <w:szCs w:val="32"/>
          <w:lang w:val="en-US" w:eastAsia="zh-CN"/>
        </w:rPr>
        <w:t>方式，扩展使用空间、完善城市和建筑功能、改善居民居住条件、补齐城市短板、提升城市服务水平的活动。</w:t>
      </w:r>
    </w:p>
    <w:p w14:paraId="4424D64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存量用地、存量建筑不动产权属人作为城市更新实施主体，依法申请规划许可，开展城市更新活动，享有更新权利，承担更新义务，合理利用土地，自觉推动存量资源提质增效。鼓励社会资本通过公正、公平、公开方式参与城市更新项目，支持社会资本与城市更新实施主体合作开展城市更新活动。</w:t>
      </w:r>
    </w:p>
    <w:p w14:paraId="256EDA2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存量用地、存量建筑不动产权属人为多个权利人的，可依法共同委托具有开发建设资质的单位作为实施主体，代为办理相关审批手续和组织实施城市更新工作。</w:t>
      </w:r>
    </w:p>
    <w:p w14:paraId="13B48A7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政府通过征收（收购）方式实施的城市更新项目，依法取得国有建设用地使用权和房屋所有权的单位为城市更新实施主体。</w:t>
      </w:r>
    </w:p>
    <w:p w14:paraId="49C6D64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城市更新工作应健全公众参与机制，畅通公众意见表达渠道，依法保障公众和利害关系人在城市更新活动中的知情权、参与权、表达权和监督权。应当充分尊重不动产权利人的意愿，不得破坏市场主体公开公平公正参与竞争的市场环境。</w:t>
      </w:r>
    </w:p>
    <w:p w14:paraId="3E4877F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第七条 </w:t>
      </w:r>
      <w:r>
        <w:rPr>
          <w:rFonts w:hint="eastAsia" w:ascii="仿宋" w:hAnsi="仿宋" w:eastAsia="仿宋" w:cs="仿宋"/>
          <w:sz w:val="32"/>
          <w:szCs w:val="32"/>
          <w:lang w:val="en-US" w:eastAsia="zh-CN"/>
        </w:rPr>
        <w:t>鼓励探索建立社区规划师制度，充分发挥社区规划师在推进城市更新品质提升的技术引领指导作用，引导公众参与，有效实现共治共建共享。</w:t>
      </w:r>
    </w:p>
    <w:p w14:paraId="199FADB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第二章 规划制定</w:t>
      </w:r>
    </w:p>
    <w:p w14:paraId="2B085CC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已经市政府批准的《开封市城市更新专项规划》是指导推进全市城市更新重大项目、分区分类推进城市更新行动、实施更新单元化治理的重要依据；是向上承接市级国土空间总体规划要求，向下指导国土空间详细规划编制的重要依据。</w:t>
      </w:r>
    </w:p>
    <w:p w14:paraId="45AE944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第九条 </w:t>
      </w:r>
      <w:r>
        <w:rPr>
          <w:rFonts w:hint="eastAsia" w:ascii="仿宋" w:hAnsi="仿宋" w:eastAsia="仿宋" w:cs="仿宋"/>
          <w:sz w:val="32"/>
          <w:szCs w:val="32"/>
          <w:lang w:val="en-US" w:eastAsia="zh-CN"/>
        </w:rPr>
        <w:t>城市更新区域的国土空间详细规划，应当依据国土空间总体规划，结合城市体检评估成果、城市更新专项规划，在国土空间详细规划中对规划范围内现状各类建（构）筑物、设施、公共空间等空间对象进行研究，明确城市更新类型以及保留利用、拆旧建新等更新方式，按照尊重历史、因地制宜、保障存量用地、存量建筑合法产权权益的原则，合理确定城市更新单元、用地布局、建设规模、市政基础设施、公共服务设施、停车设施、绿地、城市风貌等规划管控要求。</w:t>
      </w:r>
    </w:p>
    <w:p w14:paraId="36CD489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第十条 </w:t>
      </w:r>
      <w:r>
        <w:rPr>
          <w:rFonts w:hint="eastAsia" w:ascii="仿宋" w:hAnsi="仿宋" w:eastAsia="仿宋" w:cs="仿宋"/>
          <w:sz w:val="32"/>
          <w:szCs w:val="32"/>
          <w:lang w:val="en-US" w:eastAsia="zh-CN"/>
        </w:rPr>
        <w:t>城市更新项目实施主体应当组织编制城市更新实施方案（以下简称实施方案）。实施方案中应包含项目背景、现状分析、项目功能定位、更新方式、规划设计方案、消防设计方案、项目利益分析、项目实施计划与保障和专题分析等内容。</w:t>
      </w:r>
    </w:p>
    <w:p w14:paraId="1E7E49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实施方案应依据城市更新专项规划、片区策划、国土空间详细规划、</w:t>
      </w:r>
      <w:r>
        <w:rPr>
          <w:rFonts w:hint="default" w:ascii="仿宋" w:hAnsi="仿宋" w:eastAsia="仿宋" w:cs="仿宋"/>
          <w:sz w:val="32"/>
          <w:szCs w:val="32"/>
          <w:lang w:val="en-US" w:eastAsia="zh-CN"/>
        </w:rPr>
        <w:t>历史文化名城保护规划</w:t>
      </w:r>
      <w:r>
        <w:rPr>
          <w:rFonts w:hint="eastAsia" w:ascii="仿宋" w:hAnsi="仿宋" w:eastAsia="仿宋" w:cs="仿宋"/>
          <w:sz w:val="32"/>
          <w:szCs w:val="32"/>
          <w:lang w:val="en-US" w:eastAsia="zh-CN"/>
        </w:rPr>
        <w:t>，结合现状条件深化规划设计方案，明确更新范围、市政基础设施、公共服务设施、建筑更新模式分布（包含“留改拆”情况）、相关规划技术指标、效果图等内容；对于因现状的建筑间距、建筑退距、建筑面宽、建筑密度、绿地率、日照标准、机动车及非机动车停车位、配套设施等指标未达到现行规范和标准，导致城市更新项目无法达到现行规范和标准要求的，应详细说明相关技术指标无法达到现行标准的原因、调整幅度及采取的补救措施。现状指标无法达到现行标准和规范的，规划指标不得低于现状指标。</w:t>
      </w:r>
    </w:p>
    <w:p w14:paraId="7AF1F2E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textAlignment w:val="auto"/>
        <w:rPr>
          <w:rFonts w:hint="eastAsia" w:ascii="微软雅黑" w:hAnsi="微软雅黑" w:eastAsia="微软雅黑" w:cs="微软雅黑"/>
          <w:sz w:val="32"/>
          <w:szCs w:val="32"/>
          <w:lang w:val="en-US" w:eastAsia="zh-CN"/>
        </w:rPr>
      </w:pPr>
      <w:r>
        <w:rPr>
          <w:rFonts w:hint="eastAsia" w:ascii="仿宋" w:hAnsi="仿宋" w:eastAsia="仿宋" w:cs="仿宋"/>
          <w:b/>
          <w:bCs/>
          <w:sz w:val="32"/>
          <w:szCs w:val="32"/>
          <w:lang w:val="en-US" w:eastAsia="zh-CN"/>
        </w:rPr>
        <w:t xml:space="preserve">第十一条 </w:t>
      </w:r>
    </w:p>
    <w:p w14:paraId="7F104CB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市政府负责重点更新项目实施方案的审批工作。</w:t>
      </w:r>
    </w:p>
    <w:p w14:paraId="02A8D80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各区政府负责除重点更新项目以外更新项目实施方案的审批工作。</w:t>
      </w:r>
    </w:p>
    <w:p w14:paraId="668B47D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方案审批机关应当组织自然资源和规划、住房和城乡建设等有关部门对实施方案进行联合审查。自然资源和规划主管部门主要对规划设计方案提出意见，住房和城乡建设主管部门主要对是否符合更新片区策划方案以及消防设计方案和涉及的历史文化保护内容提出意见，其他有关部门对根据职责对相关内容提出意见。实施方案经部门联合审查通过后，</w:t>
      </w:r>
      <w:r>
        <w:rPr>
          <w:rFonts w:hint="eastAsia" w:ascii="仿宋" w:hAnsi="仿宋" w:eastAsia="仿宋" w:cs="仿宋"/>
          <w:color w:val="auto"/>
          <w:sz w:val="32"/>
          <w:szCs w:val="32"/>
          <w:lang w:val="en-US" w:eastAsia="zh-CN"/>
        </w:rPr>
        <w:t>城市更新主管部门</w:t>
      </w:r>
      <w:r>
        <w:rPr>
          <w:rFonts w:hint="eastAsia" w:ascii="仿宋" w:hAnsi="仿宋" w:eastAsia="仿宋" w:cs="仿宋"/>
          <w:sz w:val="32"/>
          <w:szCs w:val="32"/>
          <w:lang w:val="en-US" w:eastAsia="zh-CN"/>
        </w:rPr>
        <w:t>应组织公示征求利害关系人意见，公示时间不低于七个工作日，经公示无异议后，报审批机关批准。</w:t>
      </w:r>
    </w:p>
    <w:p w14:paraId="6A4D87B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sz w:val="32"/>
          <w:szCs w:val="32"/>
          <w:lang w:val="en-US" w:eastAsia="zh-CN"/>
        </w:rPr>
        <w:t>在符合城市安全、环境相容、保障公益、结构平衡和景观协调前提下，城市更新项目区域的详细规划可合理布局适当比例的混合用地，提高城市更新项目土地集约使用、促进产业转型升级、提升城市活力及内涵品质。</w:t>
      </w:r>
    </w:p>
    <w:p w14:paraId="43C6C0E7">
      <w:pPr>
        <w:keepNext w:val="0"/>
        <w:keepLines w:val="0"/>
        <w:pageBreakBefore w:val="0"/>
        <w:widowControl w:val="0"/>
        <w:numPr>
          <w:ilvl w:val="0"/>
          <w:numId w:val="1"/>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规划实施</w:t>
      </w:r>
    </w:p>
    <w:p w14:paraId="684627C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第一节 一般规定</w:t>
      </w:r>
    </w:p>
    <w:p w14:paraId="275339B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城市更新活动应当严格依据国土空间详细规划和城市更新实施方案，不得以项目策划、城市设计、改造方案、会议纪要等替代详细规划设置规划条件、核发规划许可。不得将国土空间总体规划、国土空间详细规划和城市更新实施方案中规划设计内容之外的非空间治理内容纳入规划条件。</w:t>
      </w:r>
    </w:p>
    <w:p w14:paraId="15F999C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微软雅黑" w:hAnsi="微软雅黑" w:eastAsia="微软雅黑" w:cs="微软雅黑"/>
          <w:sz w:val="32"/>
          <w:szCs w:val="32"/>
          <w:lang w:val="en-US" w:eastAsia="zh-CN"/>
        </w:rPr>
        <w:t xml:space="preserve"> </w:t>
      </w:r>
      <w:r>
        <w:rPr>
          <w:rFonts w:hint="eastAsia" w:ascii="仿宋" w:hAnsi="仿宋" w:eastAsia="仿宋" w:cs="仿宋"/>
          <w:sz w:val="32"/>
          <w:szCs w:val="32"/>
          <w:lang w:val="en-US" w:eastAsia="zh-CN"/>
        </w:rPr>
        <w:t>文物保护单位、历史建筑、历史文化街区保护范围和建设控制地带内的城市更新项目，按照文物保护、历史建筑和历史文化街区保护相关规定执行。</w:t>
      </w:r>
    </w:p>
    <w:p w14:paraId="7DE220F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城市更新项目在不新增建筑物，不改变建筑物使用性质、建筑面积、高度、层数的前提下，对建筑物进行的简易修整、结构加固、构件替换、装饰装修，改造或者增设消防设施、无障碍设施、儿童游乐设施、运动健身设施、垃圾收储设施、电动自行车充电设施、电动汽车充电桩、非经营性小型分布式光伏设施、快递柜等，以及对市政基础设施实施管网和设备更新的技术改造等项目，无需办理规划审批手续。涉及相邻关系的，以社区自治方式统筹处理。</w:t>
      </w:r>
    </w:p>
    <w:p w14:paraId="73A4A1E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第二节 城市更新项目</w:t>
      </w:r>
    </w:p>
    <w:p w14:paraId="374CD31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城市更新项目用地因历史原因，土地手续办理时无划拨决定书的国有划拨建设用地，项目用地手续按下列情形分别处置。</w:t>
      </w:r>
    </w:p>
    <w:p w14:paraId="1A1F3C9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（一）不动产权证与详细规划用地性质一致且符合国有建设用地划拨目录的，城市更新项目不再办理建设用地规划许可证、规划条件和国有建设用地划拨决定书，直接依据详细规划办理建设工程规划许可证。</w:t>
      </w:r>
    </w:p>
    <w:p w14:paraId="27282F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（二）不动产权证与详细规划用地性质不一致，但符合国有建设用地划拨目录的，依据详细规划提出规划条件，重新办理建设用地规划许可证、国有建设用地划拨手续、不动产权证。</w:t>
      </w:r>
    </w:p>
    <w:p w14:paraId="13841A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三）不动产权证与详细规划用地性质一致，但不符合国有建设用地划拨目录或者与详细规划用地性质不一致，且不符合国有建设用地划拨目录的，依据详细规划提出规划条件，以划拨转协议出让方式办理土地出让手续，签订出让合同并缴清土地出让价款及相关费用，重新办理建设用地规划许可证、不动产权证。</w:t>
      </w:r>
    </w:p>
    <w:p w14:paraId="38C7584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城市更新项目用地因历史原因，土地手续办理时未签订</w:t>
      </w:r>
      <w:r>
        <w:rPr>
          <w:rFonts w:hint="eastAsia" w:ascii="仿宋" w:hAnsi="仿宋" w:eastAsia="仿宋" w:cs="仿宋"/>
          <w:color w:val="auto"/>
          <w:sz w:val="32"/>
          <w:szCs w:val="32"/>
          <w:lang w:val="en-US" w:eastAsia="zh-CN"/>
        </w:rPr>
        <w:t>国有建设用地使用权</w:t>
      </w:r>
      <w:r>
        <w:rPr>
          <w:rFonts w:hint="eastAsia" w:ascii="仿宋" w:hAnsi="仿宋" w:eastAsia="仿宋" w:cs="仿宋"/>
          <w:sz w:val="32"/>
          <w:szCs w:val="32"/>
          <w:lang w:val="en-US" w:eastAsia="zh-CN"/>
        </w:rPr>
        <w:t>出让合同或者签订出让合同但未约定规划条件的国有出让建设用地，项目用地手续按下列情形分别处置。</w:t>
      </w:r>
    </w:p>
    <w:p w14:paraId="25B9793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（一）不动产权证证载土地用途与详细规划用地性质一致的，依据详细规划提出规划条件，补签出让合同或者签订出让合同补充协议，不再重新办理建设用地规划许可证和不动产权证；</w:t>
      </w:r>
    </w:p>
    <w:p w14:paraId="6978DC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（二）不动产权证证载土地用途与详细规划用地性质不一致的，依据详细规划提出规划条件，以协议出让方式重新签订出让合同，按照规划用地性质重新办理建设用地规划许可证和不动产权证。</w:t>
      </w:r>
    </w:p>
    <w:p w14:paraId="6E3FE46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微软雅黑" w:hAnsi="微软雅黑" w:eastAsia="微软雅黑" w:cs="微软雅黑"/>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存量用地不动产权证证载土地用途与详细规划用地性质不一致，城市更新项目按照原土地证载用途进行拆旧建新，建筑总面积不超过用地范围内原房产登记建筑总面积的，在不影响规划绿线、蓝线、紫线、黄线和道路红线前提下可不再调整详细规划，无需办理用地手续，直接办理建设工程规划许可证。</w:t>
      </w:r>
    </w:p>
    <w:p w14:paraId="1B93F5E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出让方式取得国有建设用地使用权的存量用地，原土地出让时的土地用途与现行规划用地性质不一致，按照现行规划用地性质进行城市更新的，可依据详细规划提出规划条件，以协议出让方式重新签订出让合同，按照规划用地性质重新办理建设用地规划许可证、不动产权证，并依据新的规划条件核发建设工程规划许可证。</w:t>
      </w:r>
    </w:p>
    <w:p w14:paraId="4A3478C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第十九条</w:t>
      </w:r>
      <w:r>
        <w:rPr>
          <w:rFonts w:hint="eastAsia" w:ascii="仿宋" w:hAnsi="仿宋" w:eastAsia="仿宋" w:cs="仿宋"/>
          <w:sz w:val="32"/>
          <w:szCs w:val="32"/>
          <w:lang w:val="en-US" w:eastAsia="zh-CN"/>
        </w:rPr>
        <w:t xml:space="preserve"> 城市更新项目周边的“边角地”、“夹心地”、“插花地”等零星土地，不具备独立开发建设条件的，根据城市更新项目性质可以采取划拨或者协议出让方式纳入项目用地整体开发建设。</w:t>
      </w:r>
    </w:p>
    <w:p w14:paraId="7E006E8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第二十条</w:t>
      </w:r>
      <w:r>
        <w:rPr>
          <w:rFonts w:hint="eastAsia" w:ascii="仿宋" w:hAnsi="仿宋" w:eastAsia="仿宋" w:cs="仿宋"/>
          <w:sz w:val="32"/>
          <w:szCs w:val="32"/>
          <w:lang w:val="en-US" w:eastAsia="zh-CN"/>
        </w:rPr>
        <w:t xml:space="preserve"> 拆旧建新类城市更新项目，应当向市自然资源和规划主管部门申请办理建设工程规划许可证。</w:t>
      </w:r>
    </w:p>
    <w:p w14:paraId="30B28C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城市更新项目实施主体申请办理建设工程规划许可证，应当提交不动产权证、建设项目批准、核准、备案文件、批准的城市更新实施方案和建设工程设计方案等材料，对符合详细规划、规划条件和城市更新实施方案的，由自然资源和规划部门核发建设工程规划许可证。</w:t>
      </w:r>
    </w:p>
    <w:p w14:paraId="21B56EB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第二十一条</w:t>
      </w:r>
      <w:r>
        <w:rPr>
          <w:rFonts w:hint="eastAsia" w:ascii="仿宋" w:hAnsi="仿宋" w:eastAsia="仿宋" w:cs="仿宋"/>
          <w:sz w:val="32"/>
          <w:szCs w:val="32"/>
          <w:lang w:val="en-US" w:eastAsia="zh-CN"/>
        </w:rPr>
        <w:t xml:space="preserve"> 国有建设用地上通过拆旧建新方式实施的住宅类城市更新项目，在不增加户数和满足消防、安全前提下，可适当增加建筑面积，用于完善户型，增设物业、社区、卫生、养老、托育服务、绿地、公厕、配电、供热等公共服务和市政配套设施，促进居住品质和环境的明显改善。项目增加的总建筑面积不得超过原地上建筑总面积的百分之二十，所增面积可</w:t>
      </w:r>
      <w:r>
        <w:rPr>
          <w:rFonts w:hint="eastAsia" w:ascii="仿宋" w:hAnsi="仿宋" w:eastAsia="仿宋" w:cs="仿宋"/>
          <w:strike w:val="0"/>
          <w:dstrike w:val="0"/>
          <w:sz w:val="32"/>
          <w:szCs w:val="32"/>
          <w:lang w:val="en-US" w:eastAsia="zh-CN"/>
        </w:rPr>
        <w:t>不受规划容积率指标的制约，</w:t>
      </w:r>
      <w:r>
        <w:rPr>
          <w:rFonts w:hint="eastAsia" w:ascii="仿宋" w:hAnsi="仿宋" w:eastAsia="仿宋" w:cs="仿宋"/>
          <w:sz w:val="32"/>
          <w:szCs w:val="32"/>
          <w:lang w:val="en-US" w:eastAsia="zh-CN"/>
        </w:rPr>
        <w:t>不再收取土地价款。</w:t>
      </w:r>
    </w:p>
    <w:p w14:paraId="629EB3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经市政府研究同意，确需增加户数用于保障性住房的，经法定比例的业主同意后纳入城市更新项目统一规划、统一建设。</w:t>
      </w:r>
    </w:p>
    <w:p w14:paraId="2CE31E1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trike w:val="0"/>
          <w:sz w:val="32"/>
          <w:szCs w:val="32"/>
          <w:lang w:val="en-US" w:eastAsia="zh-CN"/>
        </w:rPr>
      </w:pPr>
      <w:r>
        <w:rPr>
          <w:rFonts w:hint="eastAsia" w:ascii="仿宋" w:hAnsi="仿宋" w:eastAsia="仿宋" w:cs="仿宋"/>
          <w:b/>
          <w:bCs/>
          <w:sz w:val="32"/>
          <w:szCs w:val="32"/>
          <w:lang w:val="en-US" w:eastAsia="zh-CN"/>
        </w:rPr>
        <w:t>第二十二条</w:t>
      </w:r>
      <w:r>
        <w:rPr>
          <w:rFonts w:hint="eastAsia" w:ascii="仿宋" w:hAnsi="仿宋" w:eastAsia="仿宋" w:cs="仿宋"/>
          <w:sz w:val="32"/>
          <w:szCs w:val="32"/>
          <w:lang w:val="en-US" w:eastAsia="zh-CN"/>
        </w:rPr>
        <w:t xml:space="preserve"> </w:t>
      </w:r>
      <w:r>
        <w:rPr>
          <w:rFonts w:hint="eastAsia" w:ascii="仿宋" w:hAnsi="仿宋" w:eastAsia="仿宋" w:cs="仿宋"/>
          <w:strike w:val="0"/>
          <w:dstrike w:val="0"/>
          <w:sz w:val="32"/>
          <w:szCs w:val="32"/>
          <w:lang w:val="en-US" w:eastAsia="zh-CN"/>
        </w:rPr>
        <w:t>城市更新项目在征得相关权利人和利害关系人同意的前提下，为保障居民基本生活需求、补齐城市短板而实施的市政基础设施、公共服务设施、公共安全设施项目，以及住宅类城市更新项目，其新增建筑面积可不受规划容积率指标的制约。</w:t>
      </w:r>
    </w:p>
    <w:p w14:paraId="08A47C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对在规划条件之外多无偿移交政府的公共服务等公益性设施建筑面积，可按贡献面积的相等面积予以奖励补足。</w:t>
      </w:r>
    </w:p>
    <w:p w14:paraId="7B00CF4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为满足安全、环保、无障碍标准等要求，对于增设必要的楼梯、电梯、公共走廊、无障碍设施、风道、外墙保温等附属设施以及景观休息设施等情形，其新增建筑量可不计入规划容积率。</w:t>
      </w:r>
    </w:p>
    <w:p w14:paraId="1C390DC6">
      <w:pPr>
        <w:keepNext w:val="0"/>
        <w:keepLines w:val="0"/>
        <w:pageBreakBefore w:val="0"/>
        <w:widowControl w:val="0"/>
        <w:numPr>
          <w:ilvl w:val="0"/>
          <w:numId w:val="2"/>
        </w:numPr>
        <w:kinsoku/>
        <w:wordWrap/>
        <w:overflowPunct/>
        <w:topLinePunct w:val="0"/>
        <w:autoSpaceDE/>
        <w:autoSpaceDN/>
        <w:bidi w:val="0"/>
        <w:adjustRightInd/>
        <w:snapToGrid/>
        <w:spacing w:line="57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城市居民存量零星住房更新</w:t>
      </w:r>
    </w:p>
    <w:p w14:paraId="2E2BEBB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第二十三条</w:t>
      </w:r>
      <w:r>
        <w:rPr>
          <w:rFonts w:hint="eastAsia" w:ascii="仿宋" w:hAnsi="仿宋" w:eastAsia="仿宋" w:cs="仿宋"/>
          <w:sz w:val="32"/>
          <w:szCs w:val="32"/>
          <w:lang w:val="en-US" w:eastAsia="zh-CN"/>
        </w:rPr>
        <w:t xml:space="preserve"> 本实施细则所称城市居民存量零星住房更新是指城市中具有合法产权手续，零星分散的现存国有建设用地上城市居民老旧低层住宅，在房屋产权证证载面积基础上进行拆除重建、改建或者扩建的自主更新建设活动。</w:t>
      </w:r>
    </w:p>
    <w:p w14:paraId="3F77585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第二十四条</w:t>
      </w:r>
      <w:r>
        <w:rPr>
          <w:rFonts w:hint="eastAsia" w:ascii="仿宋" w:hAnsi="仿宋" w:eastAsia="仿宋" w:cs="仿宋"/>
          <w:sz w:val="32"/>
          <w:szCs w:val="32"/>
          <w:lang w:val="en-US" w:eastAsia="zh-CN"/>
        </w:rPr>
        <w:t xml:space="preserve"> 城市居民存量零星住房的更新建设应当符合国土空间规划，服从规划管理，妥善处理相邻关系，不得影响相邻居民的正常通行，损害他人合法权益，不得影响历史文化名城和文物保护。</w:t>
      </w:r>
    </w:p>
    <w:p w14:paraId="73D04BE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第二十五条</w:t>
      </w:r>
      <w:r>
        <w:rPr>
          <w:rFonts w:hint="eastAsia" w:ascii="仿宋" w:hAnsi="仿宋" w:eastAsia="仿宋" w:cs="仿宋"/>
          <w:sz w:val="32"/>
          <w:szCs w:val="32"/>
          <w:lang w:val="en-US" w:eastAsia="zh-CN"/>
        </w:rPr>
        <w:t xml:space="preserve"> 各区人民政府对本辖区城市居民存量零星住房的更新建设负属地管理责任，建立健全监督管理体系和联合执法管理机制，加强统一领导和综合协调工作。</w:t>
      </w:r>
    </w:p>
    <w:p w14:paraId="192275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街道办事处、社区委员会应当协同做好本辖区内城市居民存量零星住房更新建设规划管理的有关工作。</w:t>
      </w:r>
    </w:p>
    <w:p w14:paraId="30E88C9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第二十六条</w:t>
      </w:r>
      <w:r>
        <w:rPr>
          <w:rFonts w:hint="eastAsia" w:ascii="仿宋" w:hAnsi="仿宋" w:eastAsia="仿宋" w:cs="仿宋"/>
          <w:sz w:val="32"/>
          <w:szCs w:val="32"/>
          <w:lang w:val="en-US" w:eastAsia="zh-CN"/>
        </w:rPr>
        <w:t xml:space="preserve"> 城市居民存量零星住房的更新建设，应当依法向自然资源和规划主管部门申请办理建设工程规划许可证。</w:t>
      </w:r>
    </w:p>
    <w:p w14:paraId="70F114C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投资额大于等于100万元或者建筑面积大于等于500平方米的，应当在取得建设工程规划许可证后，依法向住房和城乡建设主管部门申请办理建筑工程施工许可证。低于前述标准的，无需办理施工许可证，但建设单位应当履行安全生产主体责任，按照《河南省限额以下小型工程施工安全管理办法（试行）》的规定，接受属地乡镇（街道）的质量安全监管。</w:t>
      </w:r>
    </w:p>
    <w:p w14:paraId="64254C2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第二十七条</w:t>
      </w:r>
      <w:r>
        <w:rPr>
          <w:rFonts w:hint="eastAsia" w:ascii="仿宋" w:hAnsi="仿宋" w:eastAsia="仿宋" w:cs="仿宋"/>
          <w:sz w:val="32"/>
          <w:szCs w:val="32"/>
          <w:lang w:val="en-US" w:eastAsia="zh-CN"/>
        </w:rPr>
        <w:t xml:space="preserve"> 自然资源和规划主管部门各辖区分局具体负责本辖区内城市居民存量零星住房更新建设的建设工程规划许可、规划土地核实和违法建设立案查处工作，业务上受市自然资源和规划主管部门的监督指导。</w:t>
      </w:r>
    </w:p>
    <w:p w14:paraId="6007E9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住房和城乡建设主管部门负责城市居民存量零星住房更新建设的下列工作：</w:t>
      </w:r>
    </w:p>
    <w:p w14:paraId="22DF677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（一）对需要办理施工许可证的项目，依法实施工程质量安全监督；</w:t>
      </w:r>
    </w:p>
    <w:p w14:paraId="314227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（二）对免于办理施工许可证的项目，指导属地乡镇（街道）纳入限额以下小型工程安全监管体系；</w:t>
      </w:r>
    </w:p>
    <w:p w14:paraId="16BB34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（三）对涉及消防设计的项目，依法办理消防设计审查、验收或备案手续；</w:t>
      </w:r>
    </w:p>
    <w:p w14:paraId="77E66A3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（四）对涉及主体结构变动的项目，督促建设单位依法进行房屋安全鉴定。</w:t>
      </w:r>
    </w:p>
    <w:p w14:paraId="5309854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第二十八条</w:t>
      </w:r>
      <w:r>
        <w:rPr>
          <w:rFonts w:hint="eastAsia" w:ascii="仿宋" w:hAnsi="仿宋" w:eastAsia="仿宋" w:cs="仿宋"/>
          <w:sz w:val="32"/>
          <w:szCs w:val="32"/>
          <w:lang w:val="en-US" w:eastAsia="zh-CN"/>
        </w:rPr>
        <w:t xml:space="preserve"> 位于以下范围内的城市居民存量零星住房，不得更新建设：</w:t>
      </w:r>
    </w:p>
    <w:p w14:paraId="2C533D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（一）城市征收拆迁范围内；</w:t>
      </w:r>
    </w:p>
    <w:p w14:paraId="22730D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（二）已纳入土地储备计划</w:t>
      </w:r>
      <w:r>
        <w:rPr>
          <w:rFonts w:hint="eastAsia" w:ascii="仿宋" w:hAnsi="仿宋" w:eastAsia="仿宋" w:cs="仿宋"/>
          <w:color w:val="auto"/>
          <w:sz w:val="32"/>
          <w:szCs w:val="32"/>
          <w:lang w:val="en-US" w:eastAsia="zh-CN"/>
        </w:rPr>
        <w:t>的土地范围内；</w:t>
      </w:r>
    </w:p>
    <w:p w14:paraId="16A8D78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（三）国土空间详细规划确定的非居住用地以及其他依法需要保护的用地内。</w:t>
      </w:r>
    </w:p>
    <w:p w14:paraId="140787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位于本条第（一）（二）款规定范围内的C级或者D级危房，由房屋征收部门依法处理；位于本条第（三）款规定范围内的C级或者D级危房，可以解危拆除重建。</w:t>
      </w:r>
    </w:p>
    <w:p w14:paraId="3703BAD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仿宋" w:hAnsi="仿宋" w:eastAsia="仿宋" w:cs="仿宋"/>
          <w:b/>
          <w:bCs/>
          <w:color w:val="FF0000"/>
          <w:sz w:val="32"/>
          <w:szCs w:val="32"/>
          <w:lang w:val="en-US" w:eastAsia="zh-CN"/>
        </w:rPr>
      </w:pPr>
      <w:r>
        <w:rPr>
          <w:rFonts w:hint="eastAsia" w:ascii="仿宋" w:hAnsi="仿宋" w:eastAsia="仿宋" w:cs="仿宋"/>
          <w:b/>
          <w:bCs/>
          <w:sz w:val="32"/>
          <w:szCs w:val="32"/>
          <w:lang w:val="en-US" w:eastAsia="zh-CN"/>
        </w:rPr>
        <w:t>第二十九条</w:t>
      </w:r>
      <w:r>
        <w:rPr>
          <w:rFonts w:hint="eastAsia" w:ascii="仿宋" w:hAnsi="仿宋" w:eastAsia="仿宋" w:cs="仿宋"/>
          <w:sz w:val="32"/>
          <w:szCs w:val="32"/>
          <w:lang w:val="en-US" w:eastAsia="zh-CN"/>
        </w:rPr>
        <w:t xml:space="preserve"> 城市居民存量零星住房拆除重建的，应按照房屋产权证载的原建筑功能、原建筑位置、原建筑面积、原建筑高度、原建筑朝向进行建设。</w:t>
      </w:r>
    </w:p>
    <w:p w14:paraId="28DFAA3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第三十条</w:t>
      </w:r>
      <w:r>
        <w:rPr>
          <w:rFonts w:hint="eastAsia" w:ascii="仿宋" w:hAnsi="仿宋" w:eastAsia="仿宋" w:cs="仿宋"/>
          <w:sz w:val="32"/>
          <w:szCs w:val="32"/>
          <w:lang w:val="en-US" w:eastAsia="zh-CN"/>
        </w:rPr>
        <w:t xml:space="preserve"> 城市居民存量零星住房因实施老旧住宅成套化改造增设厨房、卫生间、阳台等必要生活空间，或者为满足安全、节能、无障碍建设要求，增设必要的楼梯、电梯、无障碍设施以及外墙保温等附属设施情形，在对周边建筑不增加负面影响并征得相邻建筑产权人同意后，可在不动产权证土地使用权范围内进行扩建，其新增建筑面积可不受规划容积率指标的制约，不再收取土地价款。</w:t>
      </w:r>
    </w:p>
    <w:p w14:paraId="3D291EE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第三十一条</w:t>
      </w:r>
      <w:r>
        <w:rPr>
          <w:rFonts w:hint="eastAsia" w:ascii="仿宋" w:hAnsi="仿宋" w:eastAsia="仿宋" w:cs="仿宋"/>
          <w:sz w:val="32"/>
          <w:szCs w:val="32"/>
          <w:lang w:val="en-US" w:eastAsia="zh-CN"/>
        </w:rPr>
        <w:t xml:space="preserve"> 城市居民进行存量零星住房更新建设的，应当持建设工程规划许可申请、房屋产权和土地使用权手续、权属人身份证明、建设工程设计方案图纸等材料，向所在辖区自然资源和规划主管部门申请办理建设工程规划许可证。</w:t>
      </w:r>
    </w:p>
    <w:p w14:paraId="0824A4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辖区自然资源和规划主管部门会同街道办事处进行现场踏勘，组织建设工程设计方案的审查和征求四邻意见工作。对符合本细则规定的，由辖区自然资源和规划主管部门批准建设工程设计方案和建设工程规划许可，报开封市市民之家自然资源和规划主管部门行政审批服务窗口，领取建设工程规划许可证。</w:t>
      </w:r>
    </w:p>
    <w:p w14:paraId="2769EC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辖区自然资源和规划主管部门负责颁发建设工程规划许可证。</w:t>
      </w:r>
    </w:p>
    <w:p w14:paraId="1304646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第三十二条</w:t>
      </w:r>
      <w:r>
        <w:rPr>
          <w:rFonts w:hint="eastAsia" w:ascii="仿宋" w:hAnsi="仿宋" w:eastAsia="仿宋" w:cs="仿宋"/>
          <w:sz w:val="32"/>
          <w:szCs w:val="32"/>
          <w:lang w:val="en-US" w:eastAsia="zh-CN"/>
        </w:rPr>
        <w:t xml:space="preserve"> 存量零星住房更新建设完成后，城市居民应持建设工程规划核实申请、土地使用权手续、权属人身份证明、建设工程规划许可证、批准的建设工程设计方案、具备相应资质的测绘单位出具的规划核实测量报告等材料，向所在辖区自然资源和规划主管部门申请办理建设工程规划核实。</w:t>
      </w:r>
    </w:p>
    <w:p w14:paraId="4565D8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辖区自然资源和规划主管部门应对建设工程是否符合规划许可内容予以核实。对符合规划许可内容的，由辖区自然资源和规划主管部门批准，报开封市市民之家自然资源和规划主管部门行政审批服务窗口，领取建设工程规划核实合格手续。</w:t>
      </w:r>
    </w:p>
    <w:p w14:paraId="6739E33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第三十三条</w:t>
      </w:r>
      <w:r>
        <w:rPr>
          <w:rFonts w:hint="eastAsia" w:ascii="仿宋" w:hAnsi="仿宋" w:eastAsia="仿宋" w:cs="仿宋"/>
          <w:sz w:val="32"/>
          <w:szCs w:val="32"/>
          <w:lang w:val="en-US" w:eastAsia="zh-CN"/>
        </w:rPr>
        <w:t xml:space="preserve"> 不得以城市更新为名为现状无证房屋补办建设工程规划许可证和房屋产权证。</w:t>
      </w:r>
    </w:p>
    <w:p w14:paraId="7445A18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第三十四条</w:t>
      </w:r>
      <w:r>
        <w:rPr>
          <w:rFonts w:hint="eastAsia" w:ascii="仿宋" w:hAnsi="仿宋" w:eastAsia="仿宋" w:cs="仿宋"/>
          <w:sz w:val="32"/>
          <w:szCs w:val="32"/>
          <w:lang w:val="en-US" w:eastAsia="zh-CN"/>
        </w:rPr>
        <w:t xml:space="preserve"> 城市居民存量零星住房改扩建应符合下列规划要求：</w:t>
      </w:r>
    </w:p>
    <w:p w14:paraId="0CC6E01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（一）建筑间距、日照标准无法达到现行标准和规范的，在不影响相邻建筑安全的前提下，可不低于现状条件为底线进行控制。</w:t>
      </w:r>
    </w:p>
    <w:p w14:paraId="1794ECA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（二）因实施老旧住宅成套化改造增设厨房、卫生间、阳台等必要生活空间情形，增加的建筑面积应符合下列规定：</w:t>
      </w:r>
    </w:p>
    <w:p w14:paraId="7CE1DF9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1.原建筑面积大于105平方米的，新增的生活空间和设施应在原建筑内解决，不得新增建筑面积；原建筑面积小于105平方米的，增加的建筑面积不得大于原建筑面积的百分之二十，且建筑总面积不得大于105平方米。</w:t>
      </w:r>
    </w:p>
    <w:p w14:paraId="2ACB6F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2.阳台投影区域不得超出土地使用权范围。</w:t>
      </w:r>
    </w:p>
    <w:p w14:paraId="376B06F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（三）建筑高度应符合国土空间详细规划要求，并不得降低相邻居住建筑现状日照标准；建筑层数不得超过三层。</w:t>
      </w:r>
    </w:p>
    <w:p w14:paraId="08805C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trike/>
          <w:dstrike w:val="0"/>
          <w:color w:val="FF0000"/>
          <w:sz w:val="32"/>
          <w:szCs w:val="32"/>
          <w:lang w:val="en-US" w:eastAsia="zh-CN"/>
        </w:rPr>
      </w:pPr>
      <w:r>
        <w:rPr>
          <w:rFonts w:hint="eastAsia" w:ascii="仿宋" w:hAnsi="仿宋" w:eastAsia="仿宋" w:cs="仿宋"/>
          <w:sz w:val="32"/>
          <w:szCs w:val="32"/>
          <w:lang w:val="en-US" w:eastAsia="zh-CN"/>
        </w:rPr>
        <w:t>（四）开封城墙围合范围内城市居民存量零星住房更新建设，建筑屋顶采用坡屋顶形式的，坡屋顶建筑面积不受本条第二款规定的105平方米建筑面积限制。</w:t>
      </w:r>
    </w:p>
    <w:p w14:paraId="26F628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（五）现状建筑占压规划道路红线的，改、扩建时建筑应退出道路红线。</w:t>
      </w:r>
    </w:p>
    <w:p w14:paraId="64BC90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（六）建筑屋顶排水形式应采取有组织排水；电力、通信等管线宜采取地下敷设的方式，当因街巷狭窄、管线敷设空间受限，确需采用架空或沿墙敷设方式时，应进行隐蔽和美化处理。</w:t>
      </w:r>
    </w:p>
    <w:p w14:paraId="3B75F8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（七）污水排放应结合市政基础设施提升改造接入市政管网，不得无组织排放。</w:t>
      </w:r>
    </w:p>
    <w:p w14:paraId="6C6BC12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第四节 既有存量建筑临时改变使用功能</w:t>
      </w:r>
    </w:p>
    <w:p w14:paraId="14C5955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第三十五条</w:t>
      </w:r>
      <w:r>
        <w:rPr>
          <w:rFonts w:hint="eastAsia" w:ascii="仿宋" w:hAnsi="仿宋" w:eastAsia="仿宋" w:cs="仿宋"/>
          <w:sz w:val="32"/>
          <w:szCs w:val="32"/>
          <w:lang w:val="en-US" w:eastAsia="zh-CN"/>
        </w:rPr>
        <w:t xml:space="preserve"> 既有存量建筑（历史建筑、文物保护建筑除外）因发展国家、省、市支持的养老、文旅、服务等产业和行业，补齐民生短板、完善市政基础设施、公共服务设施，在不改变不动产权证证载房屋用途、土地用途等内容，不增加建筑面积、高度、层数的前提下，建筑所有权人可向自然资源和规划主管部门申请建筑使用功能临时转换，经审查符合《既有存量建筑使用功能临时转换规划审查正负面清单》（见附件）并经公示无异议的，自然资源和规划主管部门出具审查通过意见，无需办理规划许可。</w:t>
      </w:r>
    </w:p>
    <w:p w14:paraId="7805715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不改变建筑面积和使用功能，仅对建筑内部进行装饰装修、调整布局的，无需申请规划审查。</w:t>
      </w:r>
    </w:p>
    <w:p w14:paraId="4E89F6B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sz w:val="32"/>
          <w:szCs w:val="32"/>
          <w:lang w:val="en-US" w:eastAsia="zh-CN"/>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none"/>
          <w:lang w:val="en-US" w:eastAsia="zh-CN"/>
        </w:rPr>
        <w:t>既有存量建筑权属人在取得自然资源和规划主管部门建筑使用功能临时转换审查同意意见后，可凭该审查意见向住房和城乡建设主管部门申请办理消防设计审查、验收或备案手续。涉及主体结构变动的，应当依法进行房屋安全鉴定。涉及环境保护等其他审批事项的，应当依法向有关部门申请办理。</w:t>
      </w:r>
    </w:p>
    <w:p w14:paraId="751BF89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bCs/>
          <w:color w:val="FF0000"/>
          <w:sz w:val="32"/>
          <w:szCs w:val="32"/>
          <w:lang w:val="en-US" w:eastAsia="zh-CN"/>
        </w:rPr>
      </w:pPr>
      <w:r>
        <w:rPr>
          <w:rFonts w:hint="eastAsia" w:ascii="楷体" w:hAnsi="楷体" w:eastAsia="楷体" w:cs="楷体"/>
          <w:b/>
          <w:bCs/>
          <w:sz w:val="32"/>
          <w:szCs w:val="32"/>
          <w:lang w:val="en-US" w:eastAsia="zh-CN"/>
        </w:rPr>
        <w:t>第五节 消防与质量安全监管</w:t>
      </w:r>
    </w:p>
    <w:p w14:paraId="4716C78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第三十七条 </w:t>
      </w:r>
      <w:r>
        <w:rPr>
          <w:rFonts w:hint="eastAsia" w:ascii="仿宋" w:hAnsi="仿宋" w:eastAsia="仿宋" w:cs="仿宋"/>
          <w:sz w:val="32"/>
          <w:szCs w:val="32"/>
          <w:lang w:val="en-US" w:eastAsia="zh-CN"/>
        </w:rPr>
        <w:t>城市更新项目应当按照下列规定办理消防设计审查验收或备案手续：</w:t>
      </w:r>
    </w:p>
    <w:p w14:paraId="3A126F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（一）属于《建设工程消防设计审查验收管理暂行规定》所列特殊建设工程的，应当依法申请消防设计审查和消防验收；</w:t>
      </w:r>
    </w:p>
    <w:p w14:paraId="5117E0C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（二）不属于特殊建设工程的，应当在竣工验收后依法办理消防验收备案，并接受抽查；</w:t>
      </w:r>
    </w:p>
    <w:p w14:paraId="1B66DA7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（三）保留利用类项目中仅涉及消防设施局部改造、不改变建筑整体消防类别的，可简化申报材料，实行告知承诺制；</w:t>
      </w:r>
    </w:p>
    <w:p w14:paraId="582C1DE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（四）历史建筑、历史文化街区内的城市更新项目，消防技术标准无法满足现行规范的，应当编制消防专项方案，经专家论证通过后实施。</w:t>
      </w:r>
    </w:p>
    <w:p w14:paraId="32DF937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第三十八条 </w:t>
      </w:r>
      <w:r>
        <w:rPr>
          <w:rFonts w:hint="eastAsia" w:ascii="仿宋" w:hAnsi="仿宋" w:eastAsia="仿宋" w:cs="仿宋"/>
          <w:sz w:val="32"/>
          <w:szCs w:val="32"/>
          <w:lang w:val="en-US" w:eastAsia="zh-CN"/>
        </w:rPr>
        <w:t>住房和城乡建设部门应当及时将城市更新项目的消防验收、备案和抽查情况告知消防救援机构，并共享建筑平面图、消防设施平面布置图等相关资料。消防救援机构应当将日常监督检查中发现的涉及建设工程消防设计的重大问题及时通报住房和城乡建设部门。</w:t>
      </w:r>
    </w:p>
    <w:p w14:paraId="5DF4057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第三十九条 </w:t>
      </w:r>
      <w:r>
        <w:rPr>
          <w:rFonts w:hint="eastAsia" w:ascii="仿宋" w:hAnsi="仿宋" w:eastAsia="仿宋" w:cs="仿宋"/>
          <w:sz w:val="32"/>
          <w:szCs w:val="32"/>
          <w:lang w:val="en-US" w:eastAsia="zh-CN"/>
        </w:rPr>
        <w:t>城市更新项目应当按照下列规定落实质量安全监管责任：</w:t>
      </w:r>
    </w:p>
    <w:p w14:paraId="15F4856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（一）依法办理施工许可证的项目，由市、区住房和城乡建设主管部门按照现行规定实施质量安全监督；</w:t>
      </w:r>
    </w:p>
    <w:p w14:paraId="01AAD5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（二）免于办理施工许可证的项目，建设单位应当履行安全生产主体责任，按照《河南省限额以下小型工程施工安全管理办法（试行）》的规定，向属地乡镇（街道）办理信息登记，接受日常巡查；</w:t>
      </w:r>
    </w:p>
    <w:p w14:paraId="30CA995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（三）涉及动火作业、高处作业等危险作业的，应当严格执行动火作业审批和现场监护制度。</w:t>
      </w:r>
    </w:p>
    <w:p w14:paraId="37ED3B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第四章 监督检查</w:t>
      </w:r>
    </w:p>
    <w:p w14:paraId="5604C89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第四十条</w:t>
      </w:r>
      <w:r>
        <w:rPr>
          <w:rFonts w:hint="eastAsia" w:ascii="仿宋" w:hAnsi="仿宋" w:eastAsia="仿宋" w:cs="仿宋"/>
          <w:sz w:val="32"/>
          <w:szCs w:val="32"/>
          <w:lang w:val="en-US" w:eastAsia="zh-CN"/>
        </w:rPr>
        <w:t xml:space="preserve"> 自然资源和规划主管部门应当对本部门许可的建设工程是否符合许可内容进行监督检查，并采取验核放线结果、日常巡查等措施，加强对建设工程的监督管理。建设工程施工前及施工至正负零前，建设工程被许可人应当向建设工程规划许可证核发机关申请验线，经验线合格后，方可继续施工；不合格的，由建设工程规划许可证核发机关责令停止施工，限期改正。</w:t>
      </w:r>
    </w:p>
    <w:p w14:paraId="3393B98D">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第四十一条</w:t>
      </w:r>
      <w:r>
        <w:rPr>
          <w:rFonts w:hint="eastAsia" w:ascii="仿宋" w:hAnsi="仿宋" w:eastAsia="仿宋" w:cs="仿宋"/>
          <w:sz w:val="32"/>
          <w:szCs w:val="32"/>
          <w:lang w:val="en-US" w:eastAsia="zh-CN"/>
        </w:rPr>
        <w:t xml:space="preserve"> 自然资源和规划主管部门对许可建设工程的实施情况进行监督检查，有权采取以下措施：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（一）要求有关单位和人员提供与监督事项有关的文件、资料，并进行复制；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（二）要求有关单位和人员就监督事项涉及的问题作出解释和说明，并根据需要进入现场进行勘测；</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（三）责令有关单位和人员停止违反有关国土空间规划法律、法规的行为。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自然资源和规划主管部门的工作人员履行前款规定的监督检查职责，应当出示执法证件。被监督检查的单位和人员应当予以配合，不得妨碍和阻挠依法进行的监督检查活动。</w:t>
      </w:r>
    </w:p>
    <w:p w14:paraId="63F947D6">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第四十二条</w:t>
      </w:r>
      <w:r>
        <w:rPr>
          <w:rFonts w:hint="eastAsia" w:ascii="仿宋" w:hAnsi="仿宋" w:eastAsia="仿宋" w:cs="仿宋"/>
          <w:sz w:val="32"/>
          <w:szCs w:val="32"/>
          <w:lang w:val="en-US" w:eastAsia="zh-CN"/>
        </w:rPr>
        <w:t xml:space="preserve"> 各区人民政府及街道办事处对本辖区内的违法建设行为应当予以制止，并配合自然资源和规划主管部门、城市管理主管部门予以处理。</w:t>
      </w:r>
    </w:p>
    <w:p w14:paraId="569E24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社区居民委员会发现本辖区内的违法建设行为，应当予以劝阻，并及时向自然资源和规划主管部门、城市管理主管部门或者街道办事处举报。</w:t>
      </w:r>
    </w:p>
    <w:p w14:paraId="30B40FD8">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b/>
          <w:bCs/>
          <w:sz w:val="32"/>
          <w:szCs w:val="32"/>
          <w:lang w:val="en-US" w:eastAsia="zh-CN"/>
        </w:rPr>
      </w:pPr>
      <w:r>
        <w:rPr>
          <w:rFonts w:hint="eastAsia"/>
          <w:b/>
          <w:bCs/>
          <w:sz w:val="32"/>
          <w:szCs w:val="32"/>
          <w:lang w:val="en-US" w:eastAsia="zh-CN"/>
        </w:rPr>
        <w:t>第五章 附则</w:t>
      </w:r>
    </w:p>
    <w:p w14:paraId="5D175B3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第四十三条</w:t>
      </w:r>
      <w:r>
        <w:rPr>
          <w:rFonts w:hint="eastAsia" w:ascii="仿宋" w:hAnsi="仿宋" w:eastAsia="仿宋" w:cs="仿宋"/>
          <w:sz w:val="32"/>
          <w:szCs w:val="32"/>
          <w:lang w:val="en-US" w:eastAsia="zh-CN"/>
        </w:rPr>
        <w:t xml:space="preserve"> 本实施细则由市自然资源和规划局负责解释。</w:t>
      </w:r>
    </w:p>
    <w:p w14:paraId="5E5FEAA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第四十四条</w:t>
      </w:r>
      <w:r>
        <w:rPr>
          <w:rFonts w:hint="eastAsia" w:ascii="仿宋" w:hAnsi="仿宋" w:eastAsia="仿宋" w:cs="仿宋"/>
          <w:sz w:val="32"/>
          <w:szCs w:val="32"/>
          <w:lang w:val="en-US" w:eastAsia="zh-CN"/>
        </w:rPr>
        <w:t xml:space="preserve"> 本实施细则自XXXX年XX月XX日起施行。</w:t>
      </w:r>
    </w:p>
    <w:p w14:paraId="18AF270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p>
    <w:p w14:paraId="0901541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宋体" w:cs="宋体"/>
          <w:b w:val="0"/>
          <w:bCs w:val="0"/>
          <w:sz w:val="32"/>
          <w:szCs w:val="32"/>
          <w:lang w:val="en-US" w:eastAsia="zh-CN"/>
        </w:rPr>
      </w:pPr>
      <w:r>
        <w:rPr>
          <w:rFonts w:hint="eastAsia" w:ascii="仿宋" w:hAnsi="仿宋" w:eastAsia="仿宋" w:cs="仿宋"/>
          <w:sz w:val="32"/>
          <w:szCs w:val="32"/>
          <w:lang w:val="en-US" w:eastAsia="zh-CN"/>
        </w:rPr>
        <w:t>附件：既有存量建筑使用功能临时转换规划审查正负面清单</w:t>
      </w:r>
    </w:p>
    <w:p w14:paraId="0489F6B6">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bCs/>
          <w:color w:val="FF0000"/>
          <w:sz w:val="32"/>
          <w:szCs w:val="32"/>
          <w:lang w:val="en-US" w:eastAsia="zh-CN"/>
        </w:rPr>
      </w:pPr>
    </w:p>
    <w:p w14:paraId="52CB460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bCs/>
          <w:color w:val="FF0000"/>
          <w:sz w:val="32"/>
          <w:szCs w:val="32"/>
          <w:lang w:val="en-US" w:eastAsia="zh-CN"/>
        </w:rPr>
      </w:pPr>
      <w:bookmarkStart w:id="0" w:name="_GoBack"/>
      <w:bookmarkEnd w:id="0"/>
    </w:p>
    <w:p w14:paraId="285D8601">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rPr>
          <w:rFonts w:hint="default" w:ascii="宋体" w:hAnsi="宋体" w:eastAsia="宋体" w:cs="宋体"/>
          <w:b w:val="0"/>
          <w:bCs w:val="0"/>
          <w:sz w:val="32"/>
          <w:szCs w:val="32"/>
          <w:lang w:val="en-US" w:eastAsia="zh-CN"/>
        </w:rPr>
      </w:pPr>
    </w:p>
    <w:p w14:paraId="5AD38389">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既有存量建筑使用功能临时转换</w:t>
      </w:r>
    </w:p>
    <w:p w14:paraId="7F0FFEF5">
      <w:pPr>
        <w:keepNext w:val="0"/>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规划审查正负面清单</w:t>
      </w:r>
    </w:p>
    <w:p w14:paraId="32CEB7B6">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sz w:val="32"/>
          <w:szCs w:val="32"/>
          <w:lang w:val="en-US" w:eastAsia="zh-CN"/>
        </w:rPr>
      </w:pPr>
    </w:p>
    <w:p w14:paraId="7F7DC76C">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为支持国家、省、市支持产业和行业发展，补齐民生短板、完善市政基础设施和公共服务设施，规范既有存量建筑使用功能转换行为，结合我市实际，制定本清单。</w:t>
      </w:r>
    </w:p>
    <w:p w14:paraId="4D30247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一、基本原则</w:t>
      </w:r>
    </w:p>
    <w:p w14:paraId="1AFABA6C">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临时改变既有存量建筑使用功能，不应对相邻土地、建筑物等造成影响，不应影响相关利害关系人合法权益；严格控制对城市规划和周边环境、安全有严重影响的项目。</w:t>
      </w:r>
    </w:p>
    <w:p w14:paraId="6316270D">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二、适用范围</w:t>
      </w:r>
    </w:p>
    <w:p w14:paraId="3142AE91">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本清单适用于本市中心城区范围内，具有合法产权手续的既有存量建筑，临时改变使用功能的规划审查工作。符合原规划用途，仅对建筑内部进行装饰装修、调整布局的不适用本清单。</w:t>
      </w:r>
    </w:p>
    <w:p w14:paraId="03D6C823">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三、既有存量建筑使用功能转换正面清单</w:t>
      </w:r>
    </w:p>
    <w:p w14:paraId="7ED49B99">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（一）不动产权证证载用途为住宅，在不产生安全、噪声、光、油烟污染等干扰的前提下，从事创新创业活动（民宿、文化创意、咨询设计、电子商务、金融服务等）。</w:t>
      </w:r>
    </w:p>
    <w:p w14:paraId="0D87948F">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不动产权证证载用途为商业、商务、娱乐，其建筑内部的业态调整或者功能互换，包括商店、金融、商务办公、旅馆、超市、餐饮、娱乐、影剧院、健身房、培训机构、公用设施营业网点、经营性医疗机构、宠物医院、月子中心、体检中心、快递营业网点、网络直播商铺等（不包括加油站、加气站、充换电站）。 </w:t>
      </w:r>
    </w:p>
    <w:p w14:paraId="567B5EE3">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（三）不动产权证证载用途为商业、办公、娱乐，建筑功能临时转换为养老、文体、教育等公共服务功能。</w:t>
      </w:r>
    </w:p>
    <w:p w14:paraId="729FD82E">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（四）位于非工业开发区范围内，不动产权证证载用途为工业，经环境保护主管部门对土壤污染调查审查通过后，存量建筑功能转换为养老、文体、教育等公共服务功能。</w:t>
      </w:r>
    </w:p>
    <w:p w14:paraId="6E0DA179">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各级人民政府（含主管部门和所属事业单位）为主体所有或者管理的公共服务设施，包括教育、医疗、文化、体育、社会福利与保障设施等建筑内部，在不改变主体功能的前提下设置商业服务配套设施功能。</w:t>
      </w:r>
    </w:p>
    <w:p w14:paraId="54CE9422">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（六）不改变工业、研发建筑主体功能，建筑内部设置为内部服务的餐饮、健身房、小型商业等配套服务功能。</w:t>
      </w:r>
    </w:p>
    <w:p w14:paraId="0BD48705">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color w:val="FF0000"/>
          <w:sz w:val="32"/>
          <w:szCs w:val="32"/>
          <w:lang w:val="en-US" w:eastAsia="zh-CN"/>
        </w:rPr>
      </w:pPr>
      <w:r>
        <w:rPr>
          <w:rFonts w:hint="eastAsia" w:ascii="仿宋" w:hAnsi="仿宋" w:eastAsia="仿宋" w:cs="仿宋"/>
          <w:sz w:val="32"/>
          <w:szCs w:val="32"/>
          <w:lang w:val="en-US" w:eastAsia="zh-CN"/>
        </w:rPr>
        <w:t>（七）不改变公园绿地、交通场站主体功能，利用既有存量建筑设置服务游客、旅客的商业功能。</w:t>
      </w:r>
    </w:p>
    <w:p w14:paraId="3FCC6EB0">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四、既有建筑使用功能转换负面清单</w:t>
      </w:r>
    </w:p>
    <w:p w14:paraId="2DD72CC0">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（一）将建筑使用功能转为易燃易爆、危化品生产加工存储、危废存储等功能的。</w:t>
      </w:r>
    </w:p>
    <w:p w14:paraId="7818D095">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color w:val="auto"/>
          <w:sz w:val="32"/>
          <w:szCs w:val="32"/>
          <w:lang w:val="en-US" w:eastAsia="zh-CN"/>
        </w:rPr>
        <w:t>将非住宅建筑</w:t>
      </w:r>
      <w:r>
        <w:rPr>
          <w:rFonts w:hint="eastAsia" w:ascii="仿宋" w:hAnsi="仿宋" w:eastAsia="仿宋" w:cs="仿宋"/>
          <w:sz w:val="32"/>
          <w:szCs w:val="32"/>
          <w:lang w:val="en-US" w:eastAsia="zh-CN"/>
        </w:rPr>
        <w:t>使用功能</w:t>
      </w:r>
      <w:r>
        <w:rPr>
          <w:rFonts w:hint="eastAsia" w:ascii="仿宋" w:hAnsi="仿宋" w:eastAsia="仿宋" w:cs="仿宋"/>
          <w:color w:val="auto"/>
          <w:sz w:val="32"/>
          <w:szCs w:val="32"/>
          <w:lang w:val="en-US" w:eastAsia="zh-CN"/>
        </w:rPr>
        <w:t>转为住宅</w:t>
      </w:r>
      <w:r>
        <w:rPr>
          <w:rFonts w:hint="eastAsia" w:ascii="仿宋" w:hAnsi="仿宋" w:eastAsia="仿宋" w:cs="仿宋"/>
          <w:sz w:val="32"/>
          <w:szCs w:val="32"/>
          <w:lang w:val="en-US" w:eastAsia="zh-CN"/>
        </w:rPr>
        <w:t>功能</w:t>
      </w:r>
      <w:r>
        <w:rPr>
          <w:rFonts w:hint="eastAsia" w:ascii="仿宋" w:hAnsi="仿宋" w:eastAsia="仿宋" w:cs="仿宋"/>
          <w:color w:val="auto"/>
          <w:sz w:val="32"/>
          <w:szCs w:val="32"/>
          <w:lang w:val="en-US" w:eastAsia="zh-CN"/>
        </w:rPr>
        <w:t>的</w:t>
      </w:r>
      <w:r>
        <w:rPr>
          <w:rFonts w:hint="eastAsia" w:ascii="仿宋" w:hAnsi="仿宋" w:eastAsia="仿宋" w:cs="仿宋"/>
          <w:sz w:val="32"/>
          <w:szCs w:val="32"/>
          <w:lang w:val="en-US" w:eastAsia="zh-CN"/>
        </w:rPr>
        <w:t>。</w:t>
      </w:r>
    </w:p>
    <w:p w14:paraId="3C9BF2E4">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（三）将住宅建筑用途转为有安全、噪声、光、油烟污染等问题以及严重影响周边环境的用途，包括：餐饮、机械加工、车辆修理、建材仓库、宠物医院、娱乐场所、棋牌室、健身房、游泳馆等。</w:t>
      </w:r>
    </w:p>
    <w:p w14:paraId="4BE38F88">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（四）将工业</w:t>
      </w:r>
      <w:r>
        <w:rPr>
          <w:rFonts w:hint="eastAsia" w:ascii="仿宋" w:hAnsi="仿宋" w:eastAsia="仿宋" w:cs="仿宋"/>
          <w:color w:val="auto"/>
          <w:sz w:val="32"/>
          <w:szCs w:val="32"/>
          <w:lang w:val="en-US" w:eastAsia="zh-CN"/>
        </w:rPr>
        <w:t>开发区内的</w:t>
      </w:r>
      <w:r>
        <w:rPr>
          <w:rFonts w:hint="eastAsia" w:ascii="仿宋" w:hAnsi="仿宋" w:eastAsia="仿宋" w:cs="仿宋"/>
          <w:sz w:val="32"/>
          <w:szCs w:val="32"/>
          <w:lang w:val="en-US" w:eastAsia="zh-CN"/>
        </w:rPr>
        <w:t>工业或者仓储建筑用途</w:t>
      </w:r>
      <w:r>
        <w:rPr>
          <w:rFonts w:hint="eastAsia" w:ascii="仿宋" w:hAnsi="仿宋" w:eastAsia="仿宋" w:cs="仿宋"/>
          <w:color w:val="auto"/>
          <w:sz w:val="32"/>
          <w:szCs w:val="32"/>
          <w:lang w:val="en-US" w:eastAsia="zh-CN"/>
        </w:rPr>
        <w:t>转为非工业或者仓储用途的。</w:t>
      </w:r>
    </w:p>
    <w:p w14:paraId="70E0ED01">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color w:val="auto"/>
          <w:sz w:val="32"/>
          <w:szCs w:val="32"/>
          <w:lang w:val="en-US" w:eastAsia="zh-CN"/>
        </w:rPr>
        <w:t>将社区服务用房、物业管理用房、幼儿园、农贸市场等居住区配套设施功能改变为非配套设施功能的。</w:t>
      </w:r>
    </w:p>
    <w:p w14:paraId="5E88D7B2">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（六）将地下设备用房、车库、交通通道转做他用的。</w:t>
      </w:r>
    </w:p>
    <w:p w14:paraId="139117C6">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五、其他事项</w:t>
      </w:r>
    </w:p>
    <w:p w14:paraId="09C61F9D">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（一）既有建筑使用功能转换后的新使用功能符合不动产权证或规划许可证证载用途的，无需申请规划审查。</w:t>
      </w:r>
    </w:p>
    <w:p w14:paraId="1C4946B1">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（二）正面清单所列的功能业态调整互换，所在建筑均不得涉及改变建筑面积、高度、层数等情形，不得增设夹层。</w:t>
      </w:r>
    </w:p>
    <w:p w14:paraId="31A29A3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（三）建筑权属人既有建筑使用功能临时转换，应当按照民 事法律、法规的规定，处理好涉及的相邻权关系，并负责处理由 此引发的相邻权矛盾。</w:t>
      </w:r>
    </w:p>
    <w:p w14:paraId="1F011FF0">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sz w:val="32"/>
          <w:szCs w:val="32"/>
          <w:lang w:val="en-US" w:eastAsia="zh-CN"/>
        </w:rPr>
      </w:pPr>
      <w:r>
        <w:rPr>
          <w:rFonts w:hint="eastAsia" w:ascii="仿宋" w:hAnsi="仿宋" w:eastAsia="仿宋" w:cs="仿宋"/>
          <w:sz w:val="32"/>
          <w:szCs w:val="32"/>
          <w:lang w:val="en-US" w:eastAsia="zh-CN"/>
        </w:rPr>
        <w:t>（四）本清单由市自然资源和规划局负责解释，并根据工作实际及社会需求情况进行动态更新维护。</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9F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E5D3F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E5D3F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3142C"/>
    <w:multiLevelType w:val="singleLevel"/>
    <w:tmpl w:val="1DC3142C"/>
    <w:lvl w:ilvl="0" w:tentative="0">
      <w:start w:val="3"/>
      <w:numFmt w:val="chineseCounting"/>
      <w:suff w:val="space"/>
      <w:lvlText w:val="第%1章"/>
      <w:lvlJc w:val="left"/>
      <w:rPr>
        <w:rFonts w:hint="eastAsia"/>
      </w:rPr>
    </w:lvl>
  </w:abstractNum>
  <w:abstractNum w:abstractNumId="1">
    <w:nsid w:val="735D60FC"/>
    <w:multiLevelType w:val="singleLevel"/>
    <w:tmpl w:val="735D60FC"/>
    <w:lvl w:ilvl="0" w:tentative="0">
      <w:start w:val="3"/>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6E52"/>
    <w:rsid w:val="000C3DA7"/>
    <w:rsid w:val="005F481F"/>
    <w:rsid w:val="00782B54"/>
    <w:rsid w:val="007D6A53"/>
    <w:rsid w:val="00C06E42"/>
    <w:rsid w:val="028C5218"/>
    <w:rsid w:val="038C5CCB"/>
    <w:rsid w:val="03A04F32"/>
    <w:rsid w:val="03BE2FD8"/>
    <w:rsid w:val="03DF6104"/>
    <w:rsid w:val="03EF291A"/>
    <w:rsid w:val="041341B1"/>
    <w:rsid w:val="04357139"/>
    <w:rsid w:val="049B1F20"/>
    <w:rsid w:val="04BA58D2"/>
    <w:rsid w:val="05336C99"/>
    <w:rsid w:val="053A6EDC"/>
    <w:rsid w:val="05444DBA"/>
    <w:rsid w:val="059C5421"/>
    <w:rsid w:val="069D6EA2"/>
    <w:rsid w:val="06C11B90"/>
    <w:rsid w:val="075C73C2"/>
    <w:rsid w:val="08BF40AC"/>
    <w:rsid w:val="08D42CED"/>
    <w:rsid w:val="09013203"/>
    <w:rsid w:val="093C56FD"/>
    <w:rsid w:val="097204B5"/>
    <w:rsid w:val="09F47D86"/>
    <w:rsid w:val="0A624FB9"/>
    <w:rsid w:val="0A7400A0"/>
    <w:rsid w:val="0A894BE3"/>
    <w:rsid w:val="0AC459AA"/>
    <w:rsid w:val="0AF86F5E"/>
    <w:rsid w:val="0B4B782E"/>
    <w:rsid w:val="0B811AED"/>
    <w:rsid w:val="0BCA3494"/>
    <w:rsid w:val="0C39331B"/>
    <w:rsid w:val="0C97059E"/>
    <w:rsid w:val="0CBE5160"/>
    <w:rsid w:val="0CC8768B"/>
    <w:rsid w:val="0CD1343A"/>
    <w:rsid w:val="0D003F64"/>
    <w:rsid w:val="0D89372B"/>
    <w:rsid w:val="0D9323E2"/>
    <w:rsid w:val="0E440CDE"/>
    <w:rsid w:val="0E647ED6"/>
    <w:rsid w:val="0EAC74C0"/>
    <w:rsid w:val="0EFA28D1"/>
    <w:rsid w:val="0F64774B"/>
    <w:rsid w:val="0FB01F53"/>
    <w:rsid w:val="0FC4386F"/>
    <w:rsid w:val="108D14D7"/>
    <w:rsid w:val="109258C4"/>
    <w:rsid w:val="10B162D6"/>
    <w:rsid w:val="10C46D42"/>
    <w:rsid w:val="10F62606"/>
    <w:rsid w:val="10FD0D58"/>
    <w:rsid w:val="11F57951"/>
    <w:rsid w:val="12A6020F"/>
    <w:rsid w:val="13A5338F"/>
    <w:rsid w:val="14543320"/>
    <w:rsid w:val="149F1B25"/>
    <w:rsid w:val="14EB5314"/>
    <w:rsid w:val="14EF71DD"/>
    <w:rsid w:val="152509D7"/>
    <w:rsid w:val="15A10682"/>
    <w:rsid w:val="160055BA"/>
    <w:rsid w:val="160A380D"/>
    <w:rsid w:val="160F750C"/>
    <w:rsid w:val="164D0524"/>
    <w:rsid w:val="16987545"/>
    <w:rsid w:val="173105C7"/>
    <w:rsid w:val="174F2BEE"/>
    <w:rsid w:val="175D158B"/>
    <w:rsid w:val="17A75989"/>
    <w:rsid w:val="17D1787A"/>
    <w:rsid w:val="1888635B"/>
    <w:rsid w:val="18CC3D70"/>
    <w:rsid w:val="19782C69"/>
    <w:rsid w:val="19B13FAC"/>
    <w:rsid w:val="19DD6C02"/>
    <w:rsid w:val="1A21737F"/>
    <w:rsid w:val="1BE44C8F"/>
    <w:rsid w:val="1C233A83"/>
    <w:rsid w:val="1C740F63"/>
    <w:rsid w:val="1C8C4817"/>
    <w:rsid w:val="1CBB6BA5"/>
    <w:rsid w:val="1CDB76AF"/>
    <w:rsid w:val="1D04432C"/>
    <w:rsid w:val="1D0E6058"/>
    <w:rsid w:val="1DBB73E4"/>
    <w:rsid w:val="1DD17CE5"/>
    <w:rsid w:val="1E7D1E03"/>
    <w:rsid w:val="1EA210FC"/>
    <w:rsid w:val="1ECF44C6"/>
    <w:rsid w:val="1EDD7FFC"/>
    <w:rsid w:val="20412C9D"/>
    <w:rsid w:val="21162A75"/>
    <w:rsid w:val="211A35D9"/>
    <w:rsid w:val="212B54E9"/>
    <w:rsid w:val="216043C0"/>
    <w:rsid w:val="232C513C"/>
    <w:rsid w:val="23BB00A6"/>
    <w:rsid w:val="23FF56BA"/>
    <w:rsid w:val="24463920"/>
    <w:rsid w:val="24863B85"/>
    <w:rsid w:val="249B7324"/>
    <w:rsid w:val="24A759DB"/>
    <w:rsid w:val="25374DA8"/>
    <w:rsid w:val="25ED1962"/>
    <w:rsid w:val="25FA1CAC"/>
    <w:rsid w:val="262D05C4"/>
    <w:rsid w:val="263F7070"/>
    <w:rsid w:val="2645289A"/>
    <w:rsid w:val="26896505"/>
    <w:rsid w:val="26930720"/>
    <w:rsid w:val="27EC0C1C"/>
    <w:rsid w:val="27F25D73"/>
    <w:rsid w:val="288C501E"/>
    <w:rsid w:val="28BE5CD7"/>
    <w:rsid w:val="291B489A"/>
    <w:rsid w:val="291F125C"/>
    <w:rsid w:val="2930344F"/>
    <w:rsid w:val="2A1F4A56"/>
    <w:rsid w:val="2A691AB8"/>
    <w:rsid w:val="2AD36522"/>
    <w:rsid w:val="2C8C54D3"/>
    <w:rsid w:val="2CD70F85"/>
    <w:rsid w:val="2D2F122E"/>
    <w:rsid w:val="2DB66CAA"/>
    <w:rsid w:val="2E2B2478"/>
    <w:rsid w:val="2E2B600A"/>
    <w:rsid w:val="2E5801A2"/>
    <w:rsid w:val="2ECA611F"/>
    <w:rsid w:val="2F327487"/>
    <w:rsid w:val="2F4E2ECB"/>
    <w:rsid w:val="2F9F7D65"/>
    <w:rsid w:val="30216F4F"/>
    <w:rsid w:val="306C1FAE"/>
    <w:rsid w:val="30F617A7"/>
    <w:rsid w:val="30FE5E2A"/>
    <w:rsid w:val="31717D8A"/>
    <w:rsid w:val="31E10F22"/>
    <w:rsid w:val="320D0DF2"/>
    <w:rsid w:val="325A77DD"/>
    <w:rsid w:val="326D2651"/>
    <w:rsid w:val="32D44667"/>
    <w:rsid w:val="333C6176"/>
    <w:rsid w:val="335F2788"/>
    <w:rsid w:val="33A56078"/>
    <w:rsid w:val="33B44012"/>
    <w:rsid w:val="33B76D89"/>
    <w:rsid w:val="33C22EAC"/>
    <w:rsid w:val="33EF4A62"/>
    <w:rsid w:val="344F264A"/>
    <w:rsid w:val="34512454"/>
    <w:rsid w:val="345968B4"/>
    <w:rsid w:val="34B0154A"/>
    <w:rsid w:val="3564239F"/>
    <w:rsid w:val="35CE4ECF"/>
    <w:rsid w:val="35FB6149"/>
    <w:rsid w:val="35FF39D0"/>
    <w:rsid w:val="368A5B0F"/>
    <w:rsid w:val="36BF7716"/>
    <w:rsid w:val="37625508"/>
    <w:rsid w:val="3774310E"/>
    <w:rsid w:val="37D059C0"/>
    <w:rsid w:val="37D20707"/>
    <w:rsid w:val="38BA7DE3"/>
    <w:rsid w:val="397E6C54"/>
    <w:rsid w:val="39DA437E"/>
    <w:rsid w:val="39E61839"/>
    <w:rsid w:val="3A4F5AF0"/>
    <w:rsid w:val="3ADB199C"/>
    <w:rsid w:val="3B0B72A3"/>
    <w:rsid w:val="3BB251F7"/>
    <w:rsid w:val="3BB934EB"/>
    <w:rsid w:val="3C5721A2"/>
    <w:rsid w:val="3D9B1A2A"/>
    <w:rsid w:val="3E2947D8"/>
    <w:rsid w:val="3E2D5039"/>
    <w:rsid w:val="3E4E42AA"/>
    <w:rsid w:val="3E5D1061"/>
    <w:rsid w:val="3E691C14"/>
    <w:rsid w:val="3E9A5B06"/>
    <w:rsid w:val="3EAD4A34"/>
    <w:rsid w:val="3EC6723B"/>
    <w:rsid w:val="3F604F9A"/>
    <w:rsid w:val="3FD61F04"/>
    <w:rsid w:val="4056786D"/>
    <w:rsid w:val="40E23BE4"/>
    <w:rsid w:val="411A6588"/>
    <w:rsid w:val="411C00D2"/>
    <w:rsid w:val="41426A04"/>
    <w:rsid w:val="4143038A"/>
    <w:rsid w:val="418D5DEE"/>
    <w:rsid w:val="42534C90"/>
    <w:rsid w:val="425F778B"/>
    <w:rsid w:val="42892A5A"/>
    <w:rsid w:val="42ED2FE9"/>
    <w:rsid w:val="43234D3C"/>
    <w:rsid w:val="4341314F"/>
    <w:rsid w:val="438D0C58"/>
    <w:rsid w:val="43E24D74"/>
    <w:rsid w:val="43E720AB"/>
    <w:rsid w:val="44D0671E"/>
    <w:rsid w:val="44FE2869"/>
    <w:rsid w:val="45404FBA"/>
    <w:rsid w:val="45D77461"/>
    <w:rsid w:val="46307B3F"/>
    <w:rsid w:val="463432EB"/>
    <w:rsid w:val="46677F98"/>
    <w:rsid w:val="46E1494D"/>
    <w:rsid w:val="46F41027"/>
    <w:rsid w:val="470C6C3F"/>
    <w:rsid w:val="4805323B"/>
    <w:rsid w:val="480F24F5"/>
    <w:rsid w:val="48C8247A"/>
    <w:rsid w:val="492D458E"/>
    <w:rsid w:val="493B5A1C"/>
    <w:rsid w:val="4974534F"/>
    <w:rsid w:val="499637FE"/>
    <w:rsid w:val="49EC212E"/>
    <w:rsid w:val="4A154318"/>
    <w:rsid w:val="4A807FF9"/>
    <w:rsid w:val="4AE4648D"/>
    <w:rsid w:val="4AED7531"/>
    <w:rsid w:val="4AF64B7C"/>
    <w:rsid w:val="4B812673"/>
    <w:rsid w:val="4BA7798F"/>
    <w:rsid w:val="4BB26DE3"/>
    <w:rsid w:val="4C0E5B16"/>
    <w:rsid w:val="4D0018B8"/>
    <w:rsid w:val="4D4305CD"/>
    <w:rsid w:val="4D514D29"/>
    <w:rsid w:val="4D7471F9"/>
    <w:rsid w:val="4DD451D1"/>
    <w:rsid w:val="4DF07E31"/>
    <w:rsid w:val="4E155DBA"/>
    <w:rsid w:val="4E24707F"/>
    <w:rsid w:val="4EA8502F"/>
    <w:rsid w:val="4EB41FBA"/>
    <w:rsid w:val="4F375523"/>
    <w:rsid w:val="4F610FE6"/>
    <w:rsid w:val="4F912F4E"/>
    <w:rsid w:val="4FA827DD"/>
    <w:rsid w:val="4FE85275"/>
    <w:rsid w:val="50720633"/>
    <w:rsid w:val="50736D16"/>
    <w:rsid w:val="51184255"/>
    <w:rsid w:val="517C2D91"/>
    <w:rsid w:val="520707BE"/>
    <w:rsid w:val="52090BB1"/>
    <w:rsid w:val="5215352B"/>
    <w:rsid w:val="52484A1A"/>
    <w:rsid w:val="5288688A"/>
    <w:rsid w:val="532A6A15"/>
    <w:rsid w:val="53473E08"/>
    <w:rsid w:val="53786F73"/>
    <w:rsid w:val="539F4D04"/>
    <w:rsid w:val="53A53372"/>
    <w:rsid w:val="53E36977"/>
    <w:rsid w:val="53E83104"/>
    <w:rsid w:val="53F83BBD"/>
    <w:rsid w:val="54DE1F99"/>
    <w:rsid w:val="55001463"/>
    <w:rsid w:val="554F7B33"/>
    <w:rsid w:val="563A433F"/>
    <w:rsid w:val="56730899"/>
    <w:rsid w:val="56B54E23"/>
    <w:rsid w:val="56D0725B"/>
    <w:rsid w:val="56E00B9C"/>
    <w:rsid w:val="56FC0396"/>
    <w:rsid w:val="574B5A5E"/>
    <w:rsid w:val="57D91A30"/>
    <w:rsid w:val="58445001"/>
    <w:rsid w:val="58EE4764"/>
    <w:rsid w:val="595914EF"/>
    <w:rsid w:val="59617814"/>
    <w:rsid w:val="59647081"/>
    <w:rsid w:val="5AE20B01"/>
    <w:rsid w:val="5B0A331F"/>
    <w:rsid w:val="5B114113"/>
    <w:rsid w:val="5B4829F9"/>
    <w:rsid w:val="5CA729BF"/>
    <w:rsid w:val="5D1D4073"/>
    <w:rsid w:val="5D26535D"/>
    <w:rsid w:val="5D49203E"/>
    <w:rsid w:val="5DDD6934"/>
    <w:rsid w:val="5EBE2EAC"/>
    <w:rsid w:val="5FCE562B"/>
    <w:rsid w:val="604E6A4B"/>
    <w:rsid w:val="60CD79D4"/>
    <w:rsid w:val="61980EB0"/>
    <w:rsid w:val="61B2122D"/>
    <w:rsid w:val="624B1238"/>
    <w:rsid w:val="62922228"/>
    <w:rsid w:val="62C36762"/>
    <w:rsid w:val="63253C81"/>
    <w:rsid w:val="63892462"/>
    <w:rsid w:val="63892AC9"/>
    <w:rsid w:val="639114B0"/>
    <w:rsid w:val="64BD6E52"/>
    <w:rsid w:val="64D67929"/>
    <w:rsid w:val="655B1BDC"/>
    <w:rsid w:val="656C51F3"/>
    <w:rsid w:val="65E120E1"/>
    <w:rsid w:val="665D2478"/>
    <w:rsid w:val="66672613"/>
    <w:rsid w:val="67203254"/>
    <w:rsid w:val="67222BCE"/>
    <w:rsid w:val="677600E0"/>
    <w:rsid w:val="67E25701"/>
    <w:rsid w:val="67FA1B80"/>
    <w:rsid w:val="68014955"/>
    <w:rsid w:val="680571B7"/>
    <w:rsid w:val="68B15DAF"/>
    <w:rsid w:val="69786AA0"/>
    <w:rsid w:val="69913E1E"/>
    <w:rsid w:val="6A372B1D"/>
    <w:rsid w:val="6AA638F9"/>
    <w:rsid w:val="6B275D0A"/>
    <w:rsid w:val="6B563D6D"/>
    <w:rsid w:val="6BAF533C"/>
    <w:rsid w:val="6BC36589"/>
    <w:rsid w:val="6BD35661"/>
    <w:rsid w:val="6BDD334B"/>
    <w:rsid w:val="6C10419A"/>
    <w:rsid w:val="6CE457E5"/>
    <w:rsid w:val="6D6655C2"/>
    <w:rsid w:val="6DA15FC2"/>
    <w:rsid w:val="6E3B25AB"/>
    <w:rsid w:val="6ED8429D"/>
    <w:rsid w:val="6FEE49DF"/>
    <w:rsid w:val="7000585A"/>
    <w:rsid w:val="703D1AA2"/>
    <w:rsid w:val="70462105"/>
    <w:rsid w:val="70C14A21"/>
    <w:rsid w:val="713A4D9B"/>
    <w:rsid w:val="7148395C"/>
    <w:rsid w:val="72D1172F"/>
    <w:rsid w:val="733F07D2"/>
    <w:rsid w:val="738F5CF0"/>
    <w:rsid w:val="73AF32CE"/>
    <w:rsid w:val="73E46161"/>
    <w:rsid w:val="74F05498"/>
    <w:rsid w:val="75D21A46"/>
    <w:rsid w:val="760065B4"/>
    <w:rsid w:val="76341DEB"/>
    <w:rsid w:val="763F69C9"/>
    <w:rsid w:val="7646297A"/>
    <w:rsid w:val="766F21D5"/>
    <w:rsid w:val="77CB499F"/>
    <w:rsid w:val="78B11E2E"/>
    <w:rsid w:val="78BE3181"/>
    <w:rsid w:val="791E7A3B"/>
    <w:rsid w:val="79285039"/>
    <w:rsid w:val="79F56105"/>
    <w:rsid w:val="79FF69C4"/>
    <w:rsid w:val="7A667153"/>
    <w:rsid w:val="7B415A19"/>
    <w:rsid w:val="7B803485"/>
    <w:rsid w:val="7B935109"/>
    <w:rsid w:val="7C431DAC"/>
    <w:rsid w:val="7CE1496A"/>
    <w:rsid w:val="7D735FD6"/>
    <w:rsid w:val="7E12157A"/>
    <w:rsid w:val="7E510147"/>
    <w:rsid w:val="7E9D7B39"/>
    <w:rsid w:val="7EAD4CBB"/>
    <w:rsid w:val="7F231565"/>
    <w:rsid w:val="7F771C7A"/>
    <w:rsid w:val="7FFA0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9620</Words>
  <Characters>9660</Characters>
  <Lines>0</Lines>
  <Paragraphs>0</Paragraphs>
  <TotalTime>4</TotalTime>
  <ScaleCrop>false</ScaleCrop>
  <LinksUpToDate>false</LinksUpToDate>
  <CharactersWithSpaces>9738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2026-01-21T03:17:00Z</dcterms:created>
  <dc:creator>D</dc:creator>
  <cp:lastModifiedBy>祥～</cp:lastModifiedBy>
  <cp:lastPrinted>2026-04-09T01:06:00Z</cp:lastPrinted>
  <dcterms:modified xsi:type="dcterms:W3CDTF">2026-05-07T08:52:03Z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E18F79943EB547D4B5059739B249A69C_13</vt:lpwstr>
  </property>
  <property fmtid="{D5CDD505-2E9C-101B-9397-08002B2CF9AE}" pid="4" name="KSOTemplateDocerSaveRecord">
    <vt:lpwstr>eyJoZGlkIjoiZjlkZDA2YzM4NGUwMmU4YmFlY2QwNmFjYmFjZWVmMzIiLCJ1c2VySWQiOiIxMTQxMDMyOTY2In0=</vt:lpwstr>
  </property>
</Properties>
</file>