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63" w:rsidRPr="006F2DDF" w:rsidRDefault="00BB2263" w:rsidP="006F2DDF">
      <w:pPr>
        <w:spacing w:line="220" w:lineRule="atLeast"/>
        <w:rPr>
          <w:rFonts w:ascii="楷体" w:eastAsia="楷体" w:hAnsi="楷体"/>
          <w:sz w:val="32"/>
          <w:szCs w:val="32"/>
        </w:rPr>
      </w:pPr>
      <w:r w:rsidRPr="006F2DDF">
        <w:rPr>
          <w:rFonts w:ascii="宋体" w:eastAsia="宋体" w:hAnsi="宋体" w:hint="eastAsia"/>
          <w:sz w:val="32"/>
          <w:szCs w:val="32"/>
        </w:rPr>
        <w:t>附件</w:t>
      </w:r>
      <w:r w:rsidRPr="006F2DDF">
        <w:rPr>
          <w:rFonts w:ascii="宋体" w:eastAsia="宋体" w:hAnsi="宋体"/>
          <w:sz w:val="32"/>
          <w:szCs w:val="32"/>
        </w:rPr>
        <w:t>9</w:t>
      </w:r>
      <w:r w:rsidRPr="006F2DDF">
        <w:rPr>
          <w:rFonts w:ascii="宋体" w:eastAsia="宋体" w:hAnsi="宋体" w:hint="eastAsia"/>
          <w:sz w:val="32"/>
          <w:szCs w:val="32"/>
        </w:rPr>
        <w:t>：</w:t>
      </w:r>
      <w:r>
        <w:rPr>
          <w:rFonts w:ascii="宋体" w:eastAsia="宋体" w:hAnsi="宋体"/>
          <w:sz w:val="32"/>
          <w:szCs w:val="32"/>
        </w:rPr>
        <w:t xml:space="preserve">           </w:t>
      </w:r>
      <w:r w:rsidRPr="006F2DDF">
        <w:rPr>
          <w:rFonts w:ascii="方正小标宋简体" w:eastAsia="方正小标宋简体" w:hAnsi="方正小标宋简体" w:cs="方正小标宋简体" w:hint="eastAsia"/>
          <w:sz w:val="32"/>
          <w:szCs w:val="32"/>
        </w:rPr>
        <w:t>开封市建筑市场信用行为百分制度评分标准（造价咨询单位）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5568"/>
        <w:gridCol w:w="4360"/>
        <w:gridCol w:w="2668"/>
        <w:gridCol w:w="96"/>
      </w:tblGrid>
      <w:tr w:rsidR="00BB2263" w:rsidRPr="00C6737E" w:rsidTr="00C6737E">
        <w:trPr>
          <w:jc w:val="center"/>
        </w:trPr>
        <w:tc>
          <w:tcPr>
            <w:tcW w:w="523"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b/>
                <w:bCs/>
                <w:sz w:val="21"/>
                <w:szCs w:val="21"/>
              </w:rPr>
              <w:t>行为类别</w:t>
            </w:r>
          </w:p>
        </w:tc>
        <w:tc>
          <w:tcPr>
            <w:tcW w:w="1964"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b/>
                <w:sz w:val="21"/>
                <w:szCs w:val="21"/>
              </w:rPr>
              <w:t>具体行为事项（减分项）</w:t>
            </w:r>
          </w:p>
        </w:tc>
        <w:tc>
          <w:tcPr>
            <w:tcW w:w="1538"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b/>
                <w:bCs/>
                <w:sz w:val="21"/>
                <w:szCs w:val="21"/>
              </w:rPr>
              <w:t>法律法规文件依据</w:t>
            </w:r>
          </w:p>
        </w:tc>
        <w:tc>
          <w:tcPr>
            <w:tcW w:w="974" w:type="pct"/>
            <w:gridSpan w:val="2"/>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b/>
                <w:bCs/>
                <w:sz w:val="21"/>
                <w:szCs w:val="21"/>
              </w:rPr>
              <w:t>分数情况（</w:t>
            </w:r>
            <w:r w:rsidRPr="00C6737E">
              <w:rPr>
                <w:rFonts w:ascii="宋体" w:eastAsia="宋体" w:hAnsi="宋体" w:cs="宋体"/>
                <w:b/>
                <w:bCs/>
                <w:sz w:val="21"/>
                <w:szCs w:val="21"/>
              </w:rPr>
              <w:t>100</w:t>
            </w:r>
            <w:r w:rsidRPr="00C6737E">
              <w:rPr>
                <w:rFonts w:ascii="宋体" w:eastAsia="宋体" w:hAnsi="宋体" w:cs="宋体" w:hint="eastAsia"/>
                <w:b/>
                <w:bCs/>
                <w:sz w:val="21"/>
                <w:szCs w:val="21"/>
              </w:rPr>
              <w:t>分）</w:t>
            </w:r>
          </w:p>
        </w:tc>
      </w:tr>
      <w:tr w:rsidR="00BB2263" w:rsidRPr="00C6737E" w:rsidTr="00C6737E">
        <w:trPr>
          <w:jc w:val="center"/>
        </w:trPr>
        <w:tc>
          <w:tcPr>
            <w:tcW w:w="523" w:type="pct"/>
            <w:vMerge w:val="restar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基本信息</w:t>
            </w:r>
          </w:p>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w:t>
            </w:r>
            <w:r w:rsidRPr="00C6737E">
              <w:rPr>
                <w:rFonts w:ascii="宋体" w:eastAsia="宋体" w:hAnsi="宋体" w:cs="宋体"/>
                <w:sz w:val="21"/>
                <w:szCs w:val="21"/>
              </w:rPr>
              <w:t>12</w:t>
            </w:r>
            <w:r w:rsidRPr="00C6737E">
              <w:rPr>
                <w:rFonts w:ascii="宋体" w:eastAsia="宋体" w:hAnsi="宋体" w:cs="宋体" w:hint="eastAsia"/>
                <w:sz w:val="21"/>
                <w:szCs w:val="21"/>
              </w:rPr>
              <w:t>分）</w:t>
            </w:r>
          </w:p>
        </w:tc>
        <w:tc>
          <w:tcPr>
            <w:tcW w:w="1964" w:type="pct"/>
            <w:vAlign w:val="center"/>
          </w:tcPr>
          <w:p w:rsidR="00BB2263" w:rsidRPr="00C6737E" w:rsidRDefault="00BB2263" w:rsidP="00C6737E">
            <w:pPr>
              <w:spacing w:after="0" w:line="220" w:lineRule="atLeast"/>
              <w:jc w:val="both"/>
              <w:rPr>
                <w:rFonts w:ascii="宋体" w:eastAsia="宋体" w:hAnsi="宋体" w:cs="宋体"/>
                <w:sz w:val="21"/>
                <w:szCs w:val="21"/>
              </w:rPr>
            </w:pPr>
            <w:r w:rsidRPr="00C6737E">
              <w:rPr>
                <w:rFonts w:ascii="宋体" w:eastAsia="宋体" w:hAnsi="宋体" w:cs="宋体" w:hint="eastAsia"/>
                <w:sz w:val="21"/>
                <w:szCs w:val="21"/>
              </w:rPr>
              <w:t>造价咨询企业专职从事工程造价专业人员满足工程造价咨询企业管理办法规定</w:t>
            </w:r>
          </w:p>
        </w:tc>
        <w:tc>
          <w:tcPr>
            <w:tcW w:w="1538" w:type="pct"/>
            <w:vMerge w:val="restart"/>
            <w:vAlign w:val="center"/>
          </w:tcPr>
          <w:p w:rsidR="00BB2263" w:rsidRPr="00C6737E" w:rsidRDefault="00BB2263" w:rsidP="00C6737E">
            <w:pPr>
              <w:spacing w:after="0" w:line="220" w:lineRule="atLeast"/>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住房和城乡建设部关于修改《工程造价咨询企业管理办法》《注册造价工程师管理办法》的决定</w:t>
            </w:r>
          </w:p>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color w:val="000000"/>
                <w:sz w:val="21"/>
                <w:szCs w:val="21"/>
              </w:rPr>
              <w:t>（中华人民共和国住房和城乡建设部令第</w:t>
            </w:r>
            <w:r w:rsidRPr="00C6737E">
              <w:rPr>
                <w:rFonts w:ascii="宋体" w:eastAsia="宋体" w:hAnsi="宋体" w:cs="宋体"/>
                <w:color w:val="000000"/>
                <w:sz w:val="21"/>
                <w:szCs w:val="21"/>
              </w:rPr>
              <w:t>50</w:t>
            </w:r>
            <w:r w:rsidRPr="00C6737E">
              <w:rPr>
                <w:rFonts w:ascii="宋体" w:eastAsia="宋体" w:hAnsi="宋体" w:cs="宋体" w:hint="eastAsia"/>
                <w:color w:val="000000"/>
                <w:sz w:val="21"/>
                <w:szCs w:val="21"/>
              </w:rPr>
              <w:t>号）</w:t>
            </w:r>
          </w:p>
        </w:tc>
        <w:tc>
          <w:tcPr>
            <w:tcW w:w="974" w:type="pct"/>
            <w:gridSpan w:val="2"/>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4</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1964" w:type="pct"/>
            <w:vAlign w:val="center"/>
          </w:tcPr>
          <w:p w:rsidR="00BB2263" w:rsidRPr="00C6737E" w:rsidRDefault="00BB2263" w:rsidP="00C6737E">
            <w:pPr>
              <w:spacing w:after="0" w:line="220" w:lineRule="atLeast"/>
              <w:jc w:val="both"/>
              <w:rPr>
                <w:rFonts w:ascii="宋体" w:eastAsia="宋体" w:hAnsi="宋体" w:cs="宋体"/>
                <w:sz w:val="21"/>
                <w:szCs w:val="21"/>
              </w:rPr>
            </w:pPr>
            <w:r w:rsidRPr="00C6737E">
              <w:rPr>
                <w:rFonts w:ascii="宋体" w:eastAsia="宋体" w:hAnsi="宋体" w:cs="宋体" w:hint="eastAsia"/>
                <w:sz w:val="21"/>
                <w:szCs w:val="21"/>
              </w:rPr>
              <w:t>工程造价咨询企业资质有效期满，未申请延续的</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74" w:type="pct"/>
            <w:gridSpan w:val="2"/>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4</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1964" w:type="pct"/>
            <w:vAlign w:val="center"/>
          </w:tcPr>
          <w:p w:rsidR="00BB2263" w:rsidRPr="00C6737E" w:rsidRDefault="00BB2263" w:rsidP="00C6737E">
            <w:pPr>
              <w:spacing w:after="0" w:line="220" w:lineRule="atLeast"/>
              <w:jc w:val="both"/>
              <w:rPr>
                <w:rFonts w:ascii="宋体" w:eastAsia="宋体" w:hAnsi="宋体" w:cs="宋体"/>
                <w:sz w:val="21"/>
                <w:szCs w:val="21"/>
              </w:rPr>
            </w:pPr>
            <w:r w:rsidRPr="00C6737E">
              <w:rPr>
                <w:rFonts w:ascii="宋体" w:eastAsia="宋体" w:hAnsi="宋体" w:cs="宋体" w:hint="eastAsia"/>
                <w:sz w:val="21"/>
                <w:szCs w:val="21"/>
              </w:rPr>
              <w:t>企业按时上报上年度企业统计报表</w:t>
            </w:r>
          </w:p>
        </w:tc>
        <w:tc>
          <w:tcPr>
            <w:tcW w:w="1538"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color w:val="000000"/>
                <w:sz w:val="21"/>
                <w:szCs w:val="21"/>
              </w:rPr>
              <w:t>《工程造价咨询统计报表制度》</w:t>
            </w:r>
          </w:p>
        </w:tc>
        <w:tc>
          <w:tcPr>
            <w:tcW w:w="974" w:type="pct"/>
            <w:gridSpan w:val="2"/>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4</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tcBorders>
              <w:bottom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成果文件</w:t>
            </w:r>
          </w:p>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w:t>
            </w:r>
            <w:r w:rsidRPr="00C6737E">
              <w:rPr>
                <w:rFonts w:ascii="宋体" w:eastAsia="宋体" w:hAnsi="宋体" w:cs="宋体"/>
                <w:sz w:val="21"/>
                <w:szCs w:val="21"/>
              </w:rPr>
              <w:t>8</w:t>
            </w:r>
            <w:r w:rsidRPr="00C6737E">
              <w:rPr>
                <w:rFonts w:ascii="宋体" w:eastAsia="宋体" w:hAnsi="宋体" w:cs="宋体" w:hint="eastAsia"/>
                <w:sz w:val="21"/>
                <w:szCs w:val="21"/>
              </w:rPr>
              <w:t>分）</w:t>
            </w:r>
          </w:p>
        </w:tc>
        <w:tc>
          <w:tcPr>
            <w:tcW w:w="1964" w:type="pct"/>
            <w:tcBorders>
              <w:bottom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r w:rsidRPr="00C6737E">
              <w:rPr>
                <w:rFonts w:ascii="宋体" w:eastAsia="宋体" w:hAnsi="宋体" w:cs="宋体" w:hint="eastAsia"/>
                <w:color w:val="000000"/>
                <w:sz w:val="21"/>
                <w:szCs w:val="21"/>
              </w:rPr>
              <w:t>有专职专业人员名单且包括一级造价师</w:t>
            </w:r>
          </w:p>
        </w:tc>
        <w:tc>
          <w:tcPr>
            <w:tcW w:w="1538" w:type="pct"/>
            <w:tcBorders>
              <w:bottom w:val="double" w:sz="4" w:space="0" w:color="auto"/>
            </w:tcBorders>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《建设工程工程量清单计价规范》</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《河南省住房和城乡建设厅关于开展工程造价咨询企业随机抽查暨信用评价工作的通知》</w:t>
            </w:r>
            <w:r w:rsidRPr="00C6737E">
              <w:rPr>
                <w:rFonts w:ascii="宋体" w:eastAsia="宋体" w:hAnsi="宋体" w:cs="宋体"/>
                <w:sz w:val="21"/>
                <w:szCs w:val="21"/>
              </w:rPr>
              <w:t xml:space="preserve">  </w:t>
            </w:r>
          </w:p>
          <w:p w:rsidR="00BB2263" w:rsidRPr="00C6737E" w:rsidRDefault="00BB2263" w:rsidP="00C6737E">
            <w:pPr>
              <w:spacing w:after="0"/>
              <w:jc w:val="center"/>
              <w:rPr>
                <w:rFonts w:ascii="宋体" w:eastAsia="宋体" w:hAnsi="宋体" w:cs="宋体"/>
                <w:color w:val="666666"/>
                <w:sz w:val="21"/>
                <w:szCs w:val="21"/>
              </w:rPr>
            </w:pPr>
            <w:r w:rsidRPr="00C6737E">
              <w:rPr>
                <w:rFonts w:ascii="宋体" w:eastAsia="宋体" w:hAnsi="宋体" w:cs="宋体" w:hint="eastAsia"/>
                <w:sz w:val="21"/>
                <w:szCs w:val="21"/>
              </w:rPr>
              <w:t>（</w:t>
            </w:r>
            <w:r w:rsidRPr="00C6737E">
              <w:rPr>
                <w:rFonts w:ascii="宋体" w:eastAsia="宋体" w:hAnsi="宋体" w:cs="宋体" w:hint="eastAsia"/>
                <w:color w:val="666666"/>
                <w:sz w:val="21"/>
                <w:szCs w:val="21"/>
              </w:rPr>
              <w:t>豫建科〔</w:t>
            </w:r>
            <w:r w:rsidRPr="00C6737E">
              <w:rPr>
                <w:rFonts w:ascii="宋体" w:eastAsia="宋体" w:hAnsi="宋体" w:cs="宋体"/>
                <w:color w:val="666666"/>
                <w:sz w:val="21"/>
                <w:szCs w:val="21"/>
              </w:rPr>
              <w:t>2019</w:t>
            </w:r>
            <w:r w:rsidRPr="00C6737E">
              <w:rPr>
                <w:rFonts w:ascii="宋体" w:eastAsia="宋体" w:hAnsi="宋体" w:cs="宋体" w:hint="eastAsia"/>
                <w:color w:val="666666"/>
                <w:sz w:val="21"/>
                <w:szCs w:val="21"/>
              </w:rPr>
              <w:t>〕</w:t>
            </w:r>
            <w:r w:rsidRPr="00C6737E">
              <w:rPr>
                <w:rFonts w:ascii="宋体" w:eastAsia="宋体" w:hAnsi="宋体" w:cs="宋体"/>
                <w:color w:val="666666"/>
                <w:sz w:val="21"/>
                <w:szCs w:val="21"/>
              </w:rPr>
              <w:t>281</w:t>
            </w:r>
            <w:r w:rsidRPr="00C6737E">
              <w:rPr>
                <w:rFonts w:ascii="宋体" w:eastAsia="宋体" w:hAnsi="宋体" w:cs="宋体" w:hint="eastAsia"/>
                <w:color w:val="666666"/>
                <w:sz w:val="21"/>
                <w:szCs w:val="21"/>
              </w:rPr>
              <w:t>号</w:t>
            </w:r>
            <w:r w:rsidRPr="00C6737E">
              <w:rPr>
                <w:rFonts w:ascii="宋体" w:eastAsia="宋体" w:hAnsi="宋体" w:cs="宋体"/>
                <w:color w:val="666666"/>
                <w:sz w:val="21"/>
                <w:szCs w:val="21"/>
              </w:rPr>
              <w:t> </w:t>
            </w:r>
            <w:r w:rsidRPr="00C6737E">
              <w:rPr>
                <w:rFonts w:ascii="宋体" w:eastAsia="宋体" w:hAnsi="宋体" w:cs="宋体" w:hint="eastAsia"/>
                <w:color w:val="666666"/>
                <w:sz w:val="21"/>
                <w:szCs w:val="21"/>
              </w:rPr>
              <w:t>）</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color w:val="666666"/>
                <w:sz w:val="21"/>
                <w:szCs w:val="21"/>
              </w:rPr>
              <w:t>《河南省房屋建筑与装饰工程预算定额》</w:t>
            </w:r>
          </w:p>
        </w:tc>
        <w:tc>
          <w:tcPr>
            <w:tcW w:w="974" w:type="pct"/>
            <w:gridSpan w:val="2"/>
            <w:tcBorders>
              <w:bottom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4</w:t>
            </w:r>
            <w:r w:rsidRPr="00C6737E">
              <w:rPr>
                <w:rFonts w:ascii="宋体" w:eastAsia="宋体" w:hAnsi="宋体" w:cs="宋体" w:hint="eastAsia"/>
                <w:color w:val="000000"/>
                <w:sz w:val="21"/>
                <w:szCs w:val="21"/>
              </w:rPr>
              <w:t>分</w:t>
            </w:r>
          </w:p>
        </w:tc>
      </w:tr>
      <w:tr w:rsidR="00BB2263" w:rsidRPr="00C6737E" w:rsidTr="00C6737E">
        <w:trPr>
          <w:trHeight w:val="502"/>
          <w:jc w:val="center"/>
        </w:trPr>
        <w:tc>
          <w:tcPr>
            <w:tcW w:w="5000" w:type="pct"/>
            <w:gridSpan w:val="5"/>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color w:val="000000"/>
                <w:sz w:val="21"/>
                <w:szCs w:val="21"/>
              </w:rPr>
              <w:t>此项按项目类型选择计分</w:t>
            </w:r>
          </w:p>
        </w:tc>
      </w:tr>
      <w:tr w:rsidR="00BB2263" w:rsidRPr="00C6737E" w:rsidTr="00C6737E">
        <w:trPr>
          <w:trHeight w:val="90"/>
          <w:jc w:val="center"/>
        </w:trPr>
        <w:tc>
          <w:tcPr>
            <w:tcW w:w="523" w:type="pct"/>
            <w:vMerge w:val="restart"/>
            <w:tcBorders>
              <w:top w:val="double" w:sz="4" w:space="0" w:color="auto"/>
              <w:left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工程量清单</w:t>
            </w:r>
          </w:p>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（此项总分</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分，如扣分情况超过</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分按</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分扣除）</w:t>
            </w: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工程量清单作为招标文件的组成部分由分部分项工程量清单、措施项目清单、其他项目清单、规费和税金项目清单组成，应具备准确性和完整性，符合《建设工程工程量清单计价规范》和河南省现行计价依据规定。有下列情形之一的扣分：</w:t>
            </w:r>
          </w:p>
        </w:tc>
        <w:tc>
          <w:tcPr>
            <w:tcW w:w="1538" w:type="pct"/>
            <w:vMerge w:val="restart"/>
            <w:tcBorders>
              <w:top w:val="double" w:sz="4" w:space="0" w:color="auto"/>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bookmarkStart w:id="0" w:name="_GoBack"/>
            <w:bookmarkEnd w:id="0"/>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line="220" w:lineRule="atLeast"/>
              <w:rPr>
                <w:rFonts w:ascii="宋体" w:eastAsia="宋体" w:hAnsi="宋体" w:cs="宋体"/>
                <w:color w:val="666666"/>
                <w:sz w:val="21"/>
                <w:szCs w:val="21"/>
              </w:rPr>
            </w:pP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《建设工程工程量清单计价规范》</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《河南省住房和城乡建设厅关于开展工程造价咨询企业随机抽查暨信用评价工作的通知》</w:t>
            </w:r>
            <w:r w:rsidRPr="00C6737E">
              <w:rPr>
                <w:rFonts w:ascii="宋体" w:eastAsia="宋体" w:hAnsi="宋体" w:cs="宋体"/>
                <w:sz w:val="21"/>
                <w:szCs w:val="21"/>
              </w:rPr>
              <w:t xml:space="preserve">  </w:t>
            </w:r>
          </w:p>
          <w:p w:rsidR="00BB2263" w:rsidRPr="00C6737E" w:rsidRDefault="00BB2263" w:rsidP="00C6737E">
            <w:pPr>
              <w:spacing w:after="0"/>
              <w:jc w:val="center"/>
              <w:rPr>
                <w:rFonts w:ascii="宋体" w:eastAsia="宋体" w:hAnsi="宋体" w:cs="宋体"/>
                <w:color w:val="666666"/>
                <w:sz w:val="21"/>
                <w:szCs w:val="21"/>
              </w:rPr>
            </w:pPr>
            <w:r w:rsidRPr="00C6737E">
              <w:rPr>
                <w:rFonts w:ascii="宋体" w:eastAsia="宋体" w:hAnsi="宋体" w:cs="宋体" w:hint="eastAsia"/>
                <w:sz w:val="21"/>
                <w:szCs w:val="21"/>
              </w:rPr>
              <w:t>（</w:t>
            </w:r>
            <w:r w:rsidRPr="00C6737E">
              <w:rPr>
                <w:rFonts w:ascii="宋体" w:eastAsia="宋体" w:hAnsi="宋体" w:cs="宋体" w:hint="eastAsia"/>
                <w:color w:val="666666"/>
                <w:sz w:val="21"/>
                <w:szCs w:val="21"/>
              </w:rPr>
              <w:t>豫建科〔</w:t>
            </w:r>
            <w:r w:rsidRPr="00C6737E">
              <w:rPr>
                <w:rFonts w:ascii="宋体" w:eastAsia="宋体" w:hAnsi="宋体" w:cs="宋体"/>
                <w:color w:val="666666"/>
                <w:sz w:val="21"/>
                <w:szCs w:val="21"/>
              </w:rPr>
              <w:t>2019</w:t>
            </w:r>
            <w:r w:rsidRPr="00C6737E">
              <w:rPr>
                <w:rFonts w:ascii="宋体" w:eastAsia="宋体" w:hAnsi="宋体" w:cs="宋体" w:hint="eastAsia"/>
                <w:color w:val="666666"/>
                <w:sz w:val="21"/>
                <w:szCs w:val="21"/>
              </w:rPr>
              <w:t>〕</w:t>
            </w:r>
            <w:r w:rsidRPr="00C6737E">
              <w:rPr>
                <w:rFonts w:ascii="宋体" w:eastAsia="宋体" w:hAnsi="宋体" w:cs="宋体"/>
                <w:color w:val="666666"/>
                <w:sz w:val="21"/>
                <w:szCs w:val="21"/>
              </w:rPr>
              <w:t>281</w:t>
            </w:r>
            <w:r w:rsidRPr="00C6737E">
              <w:rPr>
                <w:rFonts w:ascii="宋体" w:eastAsia="宋体" w:hAnsi="宋体" w:cs="宋体" w:hint="eastAsia"/>
                <w:color w:val="666666"/>
                <w:sz w:val="21"/>
                <w:szCs w:val="21"/>
              </w:rPr>
              <w:t>号</w:t>
            </w:r>
            <w:r w:rsidRPr="00C6737E">
              <w:rPr>
                <w:rFonts w:ascii="宋体" w:eastAsia="宋体" w:hAnsi="宋体" w:cs="宋体"/>
                <w:color w:val="666666"/>
                <w:sz w:val="21"/>
                <w:szCs w:val="21"/>
              </w:rPr>
              <w:t> </w:t>
            </w:r>
            <w:r w:rsidRPr="00C6737E">
              <w:rPr>
                <w:rFonts w:ascii="宋体" w:eastAsia="宋体" w:hAnsi="宋体" w:cs="宋体" w:hint="eastAsia"/>
                <w:color w:val="666666"/>
                <w:sz w:val="21"/>
                <w:szCs w:val="21"/>
              </w:rPr>
              <w:t>）</w:t>
            </w:r>
          </w:p>
          <w:p w:rsidR="00BB2263" w:rsidRPr="00C6737E" w:rsidRDefault="00BB2263" w:rsidP="00C6737E">
            <w:pPr>
              <w:spacing w:after="0" w:line="220" w:lineRule="atLeast"/>
              <w:rPr>
                <w:rFonts w:ascii="宋体" w:eastAsia="宋体" w:hAnsi="宋体" w:cs="宋体"/>
                <w:sz w:val="21"/>
                <w:szCs w:val="21"/>
              </w:rPr>
            </w:pPr>
            <w:r w:rsidRPr="00C6737E">
              <w:rPr>
                <w:rFonts w:ascii="宋体" w:eastAsia="宋体" w:hAnsi="宋体" w:cs="宋体" w:hint="eastAsia"/>
                <w:color w:val="666666"/>
                <w:sz w:val="21"/>
                <w:szCs w:val="21"/>
              </w:rPr>
              <w:t>《河南省房屋建筑与装饰工程预算定额》</w:t>
            </w: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p>
        </w:tc>
      </w:tr>
      <w:tr w:rsidR="00BB2263" w:rsidRPr="00C6737E" w:rsidTr="00C6737E">
        <w:trPr>
          <w:trHeight w:val="90"/>
          <w:jc w:val="center"/>
        </w:trPr>
        <w:tc>
          <w:tcPr>
            <w:tcW w:w="523" w:type="pct"/>
            <w:vMerge/>
            <w:tcBorders>
              <w:left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．编制工程量清单如出现工程量或计量单位有误、单价不合理、项目漏项、项目特征及工程内容不明确、项目编码、项目名称等不符合计价规范和我省计价依据要求</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left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．措施项目清单未按计价规范、我省计价依据列出明细的</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sz w:val="21"/>
                <w:szCs w:val="21"/>
              </w:rPr>
              <w:t>1</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left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．每发现一处其他项目清单未按计价规范、我省计价依据列出明细（暂列金额、材料暂估价、专业工程暂估价、计日工、总承包服务费）</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left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4</w:t>
            </w:r>
            <w:r w:rsidRPr="00C6737E">
              <w:rPr>
                <w:rFonts w:ascii="宋体" w:eastAsia="宋体" w:hAnsi="宋体" w:cs="宋体" w:hint="eastAsia"/>
                <w:color w:val="000000"/>
                <w:sz w:val="21"/>
                <w:szCs w:val="21"/>
              </w:rPr>
              <w:t>．规费和税金项目清单未按计价规范、我省计价依据列出明细（社会保障费、住房公积金、工伤保险、税金）</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5</w:t>
            </w:r>
            <w:r w:rsidRPr="00C6737E">
              <w:rPr>
                <w:rFonts w:ascii="宋体" w:eastAsia="宋体" w:hAnsi="宋体" w:cs="宋体" w:hint="eastAsia"/>
                <w:color w:val="000000"/>
                <w:sz w:val="21"/>
                <w:szCs w:val="21"/>
              </w:rPr>
              <w:t>．有虚假记载、误导性陈述</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val="restar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招标控制价</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（此项总分</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分，如扣分情况超过</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分按</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分扣除）</w:t>
            </w: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招标控制价应根据招标文件、计价规范、我省现行计价依据、现场情况特点等依据进行编制，不应上浮或下调。有下列情形之一的扣分：</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．采用的计价定额、套用子目、计价程序、取费基数出现错误</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．安全文明施工费未按我省相关规定进行计算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．规费未按我省相关规定进行计算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4</w:t>
            </w:r>
            <w:r w:rsidRPr="00C6737E">
              <w:rPr>
                <w:rFonts w:ascii="宋体" w:eastAsia="宋体" w:hAnsi="宋体" w:cs="宋体" w:hint="eastAsia"/>
                <w:color w:val="000000"/>
                <w:sz w:val="21"/>
                <w:szCs w:val="21"/>
              </w:rPr>
              <w:t>．税金未按我省相关规定进行计算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5</w:t>
            </w:r>
            <w:r w:rsidRPr="00C6737E">
              <w:rPr>
                <w:rFonts w:ascii="宋体" w:eastAsia="宋体" w:hAnsi="宋体" w:cs="宋体" w:hint="eastAsia"/>
                <w:color w:val="000000"/>
                <w:sz w:val="21"/>
                <w:szCs w:val="21"/>
              </w:rPr>
              <w:t>．使用国有资金投资、清单招标的工程未采用工程量清单综合单价计价</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6</w:t>
            </w:r>
            <w:r w:rsidRPr="00C6737E">
              <w:rPr>
                <w:rFonts w:ascii="宋体" w:eastAsia="宋体" w:hAnsi="宋体" w:cs="宋体" w:hint="eastAsia"/>
                <w:color w:val="000000"/>
                <w:sz w:val="21"/>
                <w:szCs w:val="21"/>
              </w:rPr>
              <w:t>．有虚假记载、误导性陈述的扣分</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trHeight w:val="229"/>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7</w:t>
            </w:r>
            <w:r w:rsidRPr="00C6737E">
              <w:rPr>
                <w:rFonts w:ascii="宋体" w:eastAsia="宋体" w:hAnsi="宋体" w:cs="宋体" w:hint="eastAsia"/>
                <w:color w:val="000000"/>
                <w:sz w:val="21"/>
                <w:szCs w:val="21"/>
              </w:rPr>
              <w:t>．其他项目未按工程量清单填写</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val="restar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投标报价</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（此项总分</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分，如扣分情况超过</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分按</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分扣除）</w:t>
            </w: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投标报价必须按照工程量清单填报价格，不得低于工程成本。应根据招标文件、项目情况特点、企业情况、企业或我省计价依据等进行编制。有下列情形之一的扣分：</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．安全文明施工费未按我省相关规定进行计算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．规费未按我省相关规定进行计算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．税金未按我省相关规定进行计算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4</w:t>
            </w:r>
            <w:r w:rsidRPr="00C6737E">
              <w:rPr>
                <w:rFonts w:ascii="宋体" w:eastAsia="宋体" w:hAnsi="宋体" w:cs="宋体" w:hint="eastAsia"/>
                <w:color w:val="000000"/>
                <w:sz w:val="21"/>
                <w:szCs w:val="21"/>
              </w:rPr>
              <w:t>．其他项目未按工程量清单填写的</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5</w:t>
            </w:r>
            <w:r w:rsidRPr="00C6737E">
              <w:rPr>
                <w:rFonts w:ascii="宋体" w:eastAsia="宋体" w:hAnsi="宋体" w:cs="宋体" w:hint="eastAsia"/>
                <w:color w:val="000000"/>
                <w:sz w:val="21"/>
                <w:szCs w:val="21"/>
              </w:rPr>
              <w:t>．有虚假记载、误导性陈述的扣分</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74" w:type="pct"/>
            <w:gridSpan w:val="2"/>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restar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施工图预算</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（此项总分</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分，如扣分情况超过</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分按</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分扣除）</w:t>
            </w: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施工图预算应根据招标文件、计价规范、我省现行计价依据、施工图纸、现场情况特点等依据进行编制，不应上浮或下调。有下列情形之一的扣分：</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．采用的计价定额、套用子目、计价程序、取费基数出现错误的</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2</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．安全文明施工费未按我省相关规定进行计算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．规费未按我省相关规定进行计算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4</w:t>
            </w:r>
            <w:r w:rsidRPr="00C6737E">
              <w:rPr>
                <w:rFonts w:ascii="宋体" w:eastAsia="宋体" w:hAnsi="宋体" w:cs="宋体" w:hint="eastAsia"/>
                <w:color w:val="000000"/>
                <w:sz w:val="21"/>
                <w:szCs w:val="21"/>
              </w:rPr>
              <w:t>．税金未按我省相关规定进行计算</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1.5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5</w:t>
            </w:r>
            <w:r w:rsidRPr="00C6737E">
              <w:rPr>
                <w:rFonts w:ascii="宋体" w:eastAsia="宋体" w:hAnsi="宋体" w:cs="宋体" w:hint="eastAsia"/>
                <w:color w:val="000000"/>
                <w:sz w:val="21"/>
                <w:szCs w:val="21"/>
              </w:rPr>
              <w:t>．有虚假记载、误导性陈述</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restar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竣工结算阶段</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（此项总分</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分，如扣分情况超过</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分按</w:t>
            </w:r>
            <w:r w:rsidRPr="00C6737E">
              <w:rPr>
                <w:rFonts w:ascii="宋体" w:eastAsia="宋体" w:hAnsi="宋体" w:cs="宋体"/>
                <w:color w:val="000000"/>
                <w:sz w:val="21"/>
                <w:szCs w:val="21"/>
              </w:rPr>
              <w:t>40</w:t>
            </w:r>
            <w:r w:rsidRPr="00C6737E">
              <w:rPr>
                <w:rFonts w:ascii="宋体" w:eastAsia="宋体" w:hAnsi="宋体" w:cs="宋体" w:hint="eastAsia"/>
                <w:color w:val="000000"/>
                <w:sz w:val="21"/>
                <w:szCs w:val="21"/>
              </w:rPr>
              <w:t>分扣除）</w:t>
            </w: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．竣工结算计价方式与施工合同的约定不符，重要的设计变更、工程签证的手续不完备或与实际竣工项目状况不一致，并未就此向委托方提出合理化建议的</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2</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．工程变更价款的确定、材料价差调整不符合有关规定，取费程序、取费基数、取费标准有误的</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2</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．工期、工程索赔的计价不合理或缺乏相应的证据支持的</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1</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trHeight w:val="90"/>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4</w:t>
            </w:r>
            <w:r w:rsidRPr="00C6737E">
              <w:rPr>
                <w:rFonts w:ascii="宋体" w:eastAsia="宋体" w:hAnsi="宋体" w:cs="宋体" w:hint="eastAsia"/>
                <w:color w:val="000000"/>
                <w:sz w:val="21"/>
                <w:szCs w:val="21"/>
              </w:rPr>
              <w:t>．主要材料价格确定有误</w:t>
            </w:r>
          </w:p>
        </w:tc>
        <w:tc>
          <w:tcPr>
            <w:tcW w:w="1538" w:type="pct"/>
            <w:vMerge/>
            <w:tcBorders>
              <w:left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每发现一处</w:t>
            </w:r>
            <w:r w:rsidRPr="00C6737E">
              <w:rPr>
                <w:rFonts w:ascii="宋体" w:eastAsia="宋体" w:hAnsi="宋体" w:cs="宋体" w:hint="eastAsia"/>
                <w:color w:val="000000"/>
                <w:sz w:val="21"/>
                <w:szCs w:val="21"/>
              </w:rPr>
              <w:t>扣</w:t>
            </w:r>
            <w:r w:rsidRPr="00C6737E">
              <w:rPr>
                <w:rFonts w:ascii="宋体" w:eastAsia="宋体" w:hAnsi="宋体" w:cs="宋体"/>
                <w:color w:val="000000"/>
                <w:sz w:val="21"/>
                <w:szCs w:val="21"/>
              </w:rPr>
              <w:t>2</w:t>
            </w: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trHeight w:val="428"/>
          <w:jc w:val="center"/>
        </w:trPr>
        <w:tc>
          <w:tcPr>
            <w:tcW w:w="523" w:type="pct"/>
            <w:vMerge/>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p>
        </w:tc>
        <w:tc>
          <w:tcPr>
            <w:tcW w:w="1964"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5</w:t>
            </w:r>
            <w:r w:rsidRPr="00C6737E">
              <w:rPr>
                <w:rFonts w:ascii="宋体" w:eastAsia="宋体" w:hAnsi="宋体" w:cs="宋体" w:hint="eastAsia"/>
                <w:color w:val="000000"/>
                <w:sz w:val="21"/>
                <w:szCs w:val="21"/>
              </w:rPr>
              <w:t>．审核报告没有说明主要增减原因的扣分</w:t>
            </w:r>
          </w:p>
        </w:tc>
        <w:tc>
          <w:tcPr>
            <w:tcW w:w="1538" w:type="pct"/>
            <w:vMerge/>
            <w:tcBorders>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rPr>
                <w:rFonts w:ascii="宋体" w:eastAsia="宋体" w:hAnsi="宋体" w:cs="宋体"/>
                <w:sz w:val="21"/>
                <w:szCs w:val="21"/>
              </w:rPr>
            </w:pPr>
          </w:p>
        </w:tc>
        <w:tc>
          <w:tcPr>
            <w:tcW w:w="941" w:type="pct"/>
            <w:tcBorders>
              <w:top w:val="double" w:sz="4" w:space="0" w:color="auto"/>
              <w:left w:val="double" w:sz="4" w:space="0" w:color="auto"/>
              <w:bottom w:val="double" w:sz="4" w:space="0" w:color="auto"/>
              <w:right w:val="double" w:sz="4" w:space="0" w:color="auto"/>
            </w:tcBorders>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restart"/>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业务审（校）核</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sz w:val="21"/>
                <w:szCs w:val="21"/>
              </w:rPr>
              <w:t>（</w:t>
            </w:r>
            <w:r w:rsidRPr="00C6737E">
              <w:rPr>
                <w:rFonts w:ascii="宋体" w:eastAsia="宋体" w:hAnsi="宋体" w:cs="宋体"/>
                <w:sz w:val="21"/>
                <w:szCs w:val="21"/>
              </w:rPr>
              <w:t>10</w:t>
            </w:r>
            <w:r w:rsidRPr="00C6737E">
              <w:rPr>
                <w:rFonts w:ascii="宋体" w:eastAsia="宋体" w:hAnsi="宋体" w:cs="宋体" w:hint="eastAsia"/>
                <w:sz w:val="21"/>
                <w:szCs w:val="21"/>
              </w:rPr>
              <w:t>分）</w:t>
            </w:r>
          </w:p>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咨询成果文件的审（校）核记录完整、内容全面，审（校）核人员资格符合规定，审查方法得当，审查结果有据可查的得满分。有下列情形之一的扣分：</w:t>
            </w:r>
          </w:p>
        </w:tc>
        <w:tc>
          <w:tcPr>
            <w:tcW w:w="1538" w:type="pct"/>
            <w:vMerge w:val="restart"/>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《建设工程工程量清单计价规范》</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《河南省住房和城乡建设厅关于开展工程造价咨询企业随机抽查暨信用评价工作的通知》</w:t>
            </w:r>
            <w:r w:rsidRPr="00C6737E">
              <w:rPr>
                <w:rFonts w:ascii="宋体" w:eastAsia="宋体" w:hAnsi="宋体" w:cs="宋体"/>
                <w:sz w:val="21"/>
                <w:szCs w:val="21"/>
              </w:rPr>
              <w:t xml:space="preserve">  </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w:t>
            </w:r>
            <w:r w:rsidRPr="00C6737E">
              <w:rPr>
                <w:rFonts w:ascii="宋体" w:eastAsia="宋体" w:hAnsi="宋体" w:cs="宋体" w:hint="eastAsia"/>
                <w:color w:val="666666"/>
                <w:sz w:val="21"/>
                <w:szCs w:val="21"/>
              </w:rPr>
              <w:t>豫建科〔</w:t>
            </w:r>
            <w:r w:rsidRPr="00C6737E">
              <w:rPr>
                <w:rFonts w:ascii="宋体" w:eastAsia="宋体" w:hAnsi="宋体" w:cs="宋体"/>
                <w:color w:val="666666"/>
                <w:sz w:val="21"/>
                <w:szCs w:val="21"/>
              </w:rPr>
              <w:t>2019</w:t>
            </w:r>
            <w:r w:rsidRPr="00C6737E">
              <w:rPr>
                <w:rFonts w:ascii="宋体" w:eastAsia="宋体" w:hAnsi="宋体" w:cs="宋体" w:hint="eastAsia"/>
                <w:color w:val="666666"/>
                <w:sz w:val="21"/>
                <w:szCs w:val="21"/>
              </w:rPr>
              <w:t>〕</w:t>
            </w:r>
            <w:r w:rsidRPr="00C6737E">
              <w:rPr>
                <w:rFonts w:ascii="宋体" w:eastAsia="宋体" w:hAnsi="宋体" w:cs="宋体"/>
                <w:color w:val="666666"/>
                <w:sz w:val="21"/>
                <w:szCs w:val="21"/>
              </w:rPr>
              <w:t>281</w:t>
            </w:r>
            <w:r w:rsidRPr="00C6737E">
              <w:rPr>
                <w:rFonts w:ascii="宋体" w:eastAsia="宋体" w:hAnsi="宋体" w:cs="宋体" w:hint="eastAsia"/>
                <w:color w:val="666666"/>
                <w:sz w:val="21"/>
                <w:szCs w:val="21"/>
              </w:rPr>
              <w:t>号</w:t>
            </w:r>
            <w:r w:rsidRPr="00C6737E">
              <w:rPr>
                <w:rFonts w:ascii="宋体" w:eastAsia="宋体" w:hAnsi="宋体" w:cs="宋体"/>
                <w:color w:val="666666"/>
                <w:sz w:val="21"/>
                <w:szCs w:val="21"/>
              </w:rPr>
              <w:t> </w:t>
            </w:r>
            <w:r w:rsidRPr="00C6737E">
              <w:rPr>
                <w:rFonts w:ascii="宋体" w:eastAsia="宋体" w:hAnsi="宋体" w:cs="宋体" w:hint="eastAsia"/>
                <w:color w:val="666666"/>
                <w:sz w:val="21"/>
                <w:szCs w:val="21"/>
              </w:rPr>
              <w:t>）</w:t>
            </w:r>
          </w:p>
          <w:p w:rsidR="00BB2263" w:rsidRPr="00C6737E" w:rsidRDefault="00BB2263" w:rsidP="00C6737E">
            <w:pPr>
              <w:spacing w:after="0"/>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不能提供造价咨询项目审（校）记录的扣分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咨询成果文件编制、审（校）核为同一个人的扣分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restart"/>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咨询成果</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sz w:val="21"/>
                <w:szCs w:val="21"/>
              </w:rPr>
              <w:t>（</w:t>
            </w:r>
            <w:r w:rsidRPr="00C6737E">
              <w:rPr>
                <w:rFonts w:ascii="宋体" w:eastAsia="宋体" w:hAnsi="宋体" w:cs="宋体"/>
                <w:sz w:val="21"/>
                <w:szCs w:val="21"/>
              </w:rPr>
              <w:t>10</w:t>
            </w:r>
            <w:r w:rsidRPr="00C6737E">
              <w:rPr>
                <w:rFonts w:ascii="宋体" w:eastAsia="宋体" w:hAnsi="宋体" w:cs="宋体" w:hint="eastAsia"/>
                <w:sz w:val="21"/>
                <w:szCs w:val="21"/>
              </w:rPr>
              <w:t>分）</w:t>
            </w:r>
          </w:p>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咨询成果文件的格式、内容、深度符合国家及行业相关规定，满足合同约定的得满分，有下列情形之一的扣分：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咨询成果文件的格式不符合要求的扣分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咨询成果文件的内容不符合要求的扣分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咨询成果文件超资质的扣分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restart"/>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咨询成果归档</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sz w:val="21"/>
                <w:szCs w:val="21"/>
              </w:rPr>
              <w:t>（</w:t>
            </w:r>
            <w:r w:rsidRPr="00C6737E">
              <w:rPr>
                <w:rFonts w:ascii="宋体" w:eastAsia="宋体" w:hAnsi="宋体" w:cs="宋体"/>
                <w:sz w:val="21"/>
                <w:szCs w:val="21"/>
              </w:rPr>
              <w:t>10</w:t>
            </w:r>
            <w:r w:rsidRPr="00C6737E">
              <w:rPr>
                <w:rFonts w:ascii="宋体" w:eastAsia="宋体" w:hAnsi="宋体" w:cs="宋体" w:hint="eastAsia"/>
                <w:sz w:val="21"/>
                <w:szCs w:val="21"/>
              </w:rPr>
              <w:t>分）</w:t>
            </w:r>
          </w:p>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hint="eastAsia"/>
                <w:color w:val="000000"/>
                <w:sz w:val="21"/>
                <w:szCs w:val="21"/>
              </w:rPr>
              <w:t>工程造价咨询企业建立和健全了档案管理制度，咨询成果文件的收集、整理、留存和归档符合行业规定的得满分。有下列情形之一的扣分：</w:t>
            </w:r>
          </w:p>
        </w:tc>
        <w:tc>
          <w:tcPr>
            <w:tcW w:w="1538" w:type="pct"/>
            <w:vMerge/>
            <w:vAlign w:val="center"/>
          </w:tcPr>
          <w:p w:rsidR="00BB2263" w:rsidRPr="00C6737E" w:rsidRDefault="00BB2263" w:rsidP="00C6737E">
            <w:pPr>
              <w:spacing w:after="0"/>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没有上传成果文件，则成果质量评价扣分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应上传</w:t>
            </w:r>
            <w:r w:rsidRPr="00C6737E">
              <w:rPr>
                <w:rFonts w:ascii="宋体" w:eastAsia="宋体" w:hAnsi="宋体" w:cs="宋体"/>
                <w:color w:val="000000"/>
                <w:sz w:val="21"/>
                <w:szCs w:val="21"/>
              </w:rPr>
              <w:t>XML</w:t>
            </w:r>
            <w:r w:rsidRPr="00C6737E">
              <w:rPr>
                <w:rFonts w:ascii="宋体" w:eastAsia="宋体" w:hAnsi="宋体" w:cs="宋体" w:hint="eastAsia"/>
                <w:color w:val="000000"/>
                <w:sz w:val="21"/>
                <w:szCs w:val="21"/>
              </w:rPr>
              <w:t>文件的未上传的扣分</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restart"/>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不良行为</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sz w:val="21"/>
                <w:szCs w:val="21"/>
              </w:rPr>
              <w:t>（</w:t>
            </w:r>
            <w:r w:rsidRPr="00C6737E">
              <w:rPr>
                <w:rFonts w:ascii="宋体" w:eastAsia="宋体" w:hAnsi="宋体" w:cs="宋体"/>
                <w:sz w:val="21"/>
                <w:szCs w:val="21"/>
              </w:rPr>
              <w:t>10</w:t>
            </w:r>
            <w:r w:rsidRPr="00C6737E">
              <w:rPr>
                <w:rFonts w:ascii="宋体" w:eastAsia="宋体" w:hAnsi="宋体" w:cs="宋体" w:hint="eastAsia"/>
                <w:sz w:val="21"/>
                <w:szCs w:val="21"/>
              </w:rPr>
              <w:t>分）</w:t>
            </w:r>
          </w:p>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、造价咨询企业未按要求在河南省工程造价市场监管信息系统登记备案的</w:t>
            </w:r>
          </w:p>
        </w:tc>
        <w:tc>
          <w:tcPr>
            <w:tcW w:w="1538" w:type="pct"/>
            <w:vMerge/>
            <w:vAlign w:val="center"/>
          </w:tcPr>
          <w:p w:rsidR="00BB2263" w:rsidRPr="00C6737E" w:rsidRDefault="00BB2263" w:rsidP="00C6737E">
            <w:pPr>
              <w:spacing w:after="0"/>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gridAfter w:val="1"/>
          <w:wAfter w:w="96" w:type="dxa"/>
          <w:trHeight w:val="520"/>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、被县级及以上住房城乡建设主管部门或相关部门通报批评并要求限期整改的</w:t>
            </w:r>
            <w:r w:rsidRPr="00C6737E">
              <w:rPr>
                <w:rFonts w:ascii="宋体" w:eastAsia="宋体" w:hAnsi="宋体" w:cs="宋体"/>
                <w:color w:val="000000"/>
                <w:sz w:val="21"/>
                <w:szCs w:val="21"/>
              </w:rPr>
              <w:t xml:space="preserve">  </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、拒绝接受住房城乡建设主管部门监督检查或拒绝提供反映活动情况真实材料的</w:t>
            </w:r>
            <w:r w:rsidRPr="00C6737E">
              <w:rPr>
                <w:rFonts w:ascii="宋体" w:eastAsia="宋体" w:hAnsi="宋体" w:cs="宋体"/>
                <w:color w:val="000000"/>
                <w:sz w:val="21"/>
                <w:szCs w:val="21"/>
              </w:rPr>
              <w:t xml:space="preserve"> </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4</w:t>
            </w:r>
            <w:r w:rsidRPr="00C6737E">
              <w:rPr>
                <w:rFonts w:ascii="宋体" w:eastAsia="宋体" w:hAnsi="宋体" w:cs="宋体" w:hint="eastAsia"/>
                <w:color w:val="000000"/>
                <w:sz w:val="21"/>
                <w:szCs w:val="21"/>
              </w:rPr>
              <w:t>、其他法律、法规和相关规定明令禁止的行为</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2.5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5</w:t>
            </w:r>
            <w:r w:rsidRPr="00C6737E">
              <w:rPr>
                <w:rFonts w:ascii="宋体" w:eastAsia="宋体" w:hAnsi="宋体" w:cs="宋体" w:hint="eastAsia"/>
                <w:color w:val="000000"/>
                <w:sz w:val="21"/>
                <w:szCs w:val="21"/>
              </w:rPr>
              <w:t>、从事工程造价咨询活动，投寄社会公共利益和他人的合法权益的</w:t>
            </w:r>
          </w:p>
        </w:tc>
        <w:tc>
          <w:tcPr>
            <w:tcW w:w="1538" w:type="pct"/>
            <w:vMerge w:val="restart"/>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《建设工程工程量清单计价规范》</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《河南省住房和城乡建设厅关于开展工程造价咨询企业随机抽查暨信用评价工作的通知》</w:t>
            </w:r>
            <w:r w:rsidRPr="00C6737E">
              <w:rPr>
                <w:rFonts w:ascii="宋体" w:eastAsia="宋体" w:hAnsi="宋体" w:cs="宋体"/>
                <w:sz w:val="21"/>
                <w:szCs w:val="21"/>
              </w:rPr>
              <w:t xml:space="preserve">  </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w:t>
            </w:r>
            <w:r w:rsidRPr="00C6737E">
              <w:rPr>
                <w:rFonts w:ascii="宋体" w:eastAsia="宋体" w:hAnsi="宋体" w:cs="宋体" w:hint="eastAsia"/>
                <w:color w:val="666666"/>
                <w:sz w:val="21"/>
                <w:szCs w:val="21"/>
              </w:rPr>
              <w:t>豫建科〔</w:t>
            </w:r>
            <w:r w:rsidRPr="00C6737E">
              <w:rPr>
                <w:rFonts w:ascii="宋体" w:eastAsia="宋体" w:hAnsi="宋体" w:cs="宋体"/>
                <w:color w:val="666666"/>
                <w:sz w:val="21"/>
                <w:szCs w:val="21"/>
              </w:rPr>
              <w:t>2019</w:t>
            </w:r>
            <w:r w:rsidRPr="00C6737E">
              <w:rPr>
                <w:rFonts w:ascii="宋体" w:eastAsia="宋体" w:hAnsi="宋体" w:cs="宋体" w:hint="eastAsia"/>
                <w:color w:val="666666"/>
                <w:sz w:val="21"/>
                <w:szCs w:val="21"/>
              </w:rPr>
              <w:t>〕</w:t>
            </w:r>
            <w:r w:rsidRPr="00C6737E">
              <w:rPr>
                <w:rFonts w:ascii="宋体" w:eastAsia="宋体" w:hAnsi="宋体" w:cs="宋体"/>
                <w:color w:val="666666"/>
                <w:sz w:val="21"/>
                <w:szCs w:val="21"/>
              </w:rPr>
              <w:t>281</w:t>
            </w:r>
            <w:r w:rsidRPr="00C6737E">
              <w:rPr>
                <w:rFonts w:ascii="宋体" w:eastAsia="宋体" w:hAnsi="宋体" w:cs="宋体" w:hint="eastAsia"/>
                <w:color w:val="666666"/>
                <w:sz w:val="21"/>
                <w:szCs w:val="21"/>
              </w:rPr>
              <w:t>号</w:t>
            </w:r>
            <w:r w:rsidRPr="00C6737E">
              <w:rPr>
                <w:rFonts w:ascii="宋体" w:eastAsia="宋体" w:hAnsi="宋体" w:cs="宋体"/>
                <w:color w:val="666666"/>
                <w:sz w:val="21"/>
                <w:szCs w:val="21"/>
              </w:rPr>
              <w:t> </w:t>
            </w:r>
            <w:r w:rsidRPr="00C6737E">
              <w:rPr>
                <w:rFonts w:ascii="宋体" w:eastAsia="宋体" w:hAnsi="宋体" w:cs="宋体" w:hint="eastAsia"/>
                <w:color w:val="666666"/>
                <w:sz w:val="21"/>
                <w:szCs w:val="21"/>
              </w:rPr>
              <w:t>）</w:t>
            </w:r>
          </w:p>
          <w:p w:rsidR="00BB2263" w:rsidRPr="00C6737E" w:rsidRDefault="00BB2263" w:rsidP="00C6737E">
            <w:pPr>
              <w:spacing w:after="0"/>
              <w:jc w:val="center"/>
              <w:rPr>
                <w:rFonts w:ascii="宋体" w:eastAsia="宋体" w:hAnsi="宋体" w:cs="宋体"/>
                <w:sz w:val="21"/>
                <w:szCs w:val="21"/>
              </w:rPr>
            </w:pPr>
          </w:p>
        </w:tc>
        <w:tc>
          <w:tcPr>
            <w:tcW w:w="941" w:type="pct"/>
            <w:vMerge w:val="restart"/>
            <w:vAlign w:val="center"/>
          </w:tcPr>
          <w:p w:rsidR="00BB2263" w:rsidRPr="00C6737E" w:rsidRDefault="00BB2263" w:rsidP="00C6737E">
            <w:pPr>
              <w:spacing w:after="0" w:line="220" w:lineRule="atLeast"/>
              <w:jc w:val="both"/>
              <w:rPr>
                <w:rFonts w:ascii="宋体" w:eastAsia="宋体" w:hAnsi="宋体" w:cs="宋体"/>
                <w:sz w:val="21"/>
                <w:szCs w:val="21"/>
              </w:rPr>
            </w:pPr>
            <w:r w:rsidRPr="00C6737E">
              <w:rPr>
                <w:rFonts w:ascii="宋体" w:eastAsia="宋体" w:hAnsi="宋体" w:cs="宋体" w:hint="eastAsia"/>
                <w:sz w:val="21"/>
                <w:szCs w:val="21"/>
              </w:rPr>
              <w:t>评价期内有此项不良行为中的一项直接取消信用评价评定资格，限期整改。</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line="240" w:lineRule="exact"/>
              <w:rPr>
                <w:rFonts w:ascii="宋体" w:eastAsia="宋体" w:hAnsi="宋体" w:cs="宋体"/>
                <w:sz w:val="21"/>
                <w:szCs w:val="21"/>
              </w:rPr>
            </w:pPr>
            <w:r w:rsidRPr="00C6737E">
              <w:rPr>
                <w:rFonts w:ascii="宋体" w:eastAsia="宋体" w:hAnsi="宋体" w:cs="宋体"/>
                <w:sz w:val="21"/>
                <w:szCs w:val="21"/>
              </w:rPr>
              <w:t>6</w:t>
            </w:r>
            <w:r w:rsidRPr="00C6737E">
              <w:rPr>
                <w:rFonts w:ascii="宋体" w:eastAsia="宋体" w:hAnsi="宋体" w:cs="宋体" w:hint="eastAsia"/>
                <w:sz w:val="21"/>
                <w:szCs w:val="21"/>
              </w:rPr>
              <w:t>、涂改、倒卖、出租、出借资质证书，或者以其他形式非法转让资质证书的</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Merge/>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7</w:t>
            </w:r>
            <w:r w:rsidRPr="00C6737E">
              <w:rPr>
                <w:rFonts w:ascii="宋体" w:eastAsia="宋体" w:hAnsi="宋体" w:cs="宋体" w:hint="eastAsia"/>
                <w:color w:val="000000"/>
                <w:sz w:val="21"/>
                <w:szCs w:val="21"/>
              </w:rPr>
              <w:t>、</w:t>
            </w:r>
            <w:r w:rsidRPr="00C6737E">
              <w:rPr>
                <w:rFonts w:ascii="宋体" w:eastAsia="宋体" w:hAnsi="宋体" w:cs="宋体" w:hint="eastAsia"/>
                <w:sz w:val="21"/>
                <w:szCs w:val="21"/>
              </w:rPr>
              <w:t>超越资质等级业务范围承接工程造价咨询业务的</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Merge/>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8</w:t>
            </w:r>
            <w:r w:rsidRPr="00C6737E">
              <w:rPr>
                <w:rFonts w:ascii="宋体" w:eastAsia="宋体" w:hAnsi="宋体" w:cs="宋体" w:hint="eastAsia"/>
                <w:color w:val="000000"/>
                <w:sz w:val="21"/>
                <w:szCs w:val="21"/>
              </w:rPr>
              <w:t>、</w:t>
            </w:r>
            <w:r w:rsidRPr="00C6737E">
              <w:rPr>
                <w:rFonts w:ascii="宋体" w:eastAsia="宋体" w:hAnsi="宋体" w:cs="宋体" w:hint="eastAsia"/>
                <w:sz w:val="21"/>
                <w:szCs w:val="21"/>
              </w:rPr>
              <w:t>同时接受招标人和投标人或两个以上投标人对同一工程项目的工程造价咨询业务的</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Merge/>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9</w:t>
            </w:r>
            <w:r w:rsidRPr="00C6737E">
              <w:rPr>
                <w:rFonts w:ascii="宋体" w:eastAsia="宋体" w:hAnsi="宋体" w:cs="宋体" w:hint="eastAsia"/>
                <w:color w:val="000000"/>
                <w:sz w:val="21"/>
                <w:szCs w:val="21"/>
              </w:rPr>
              <w:t>、</w:t>
            </w:r>
            <w:r w:rsidRPr="00C6737E">
              <w:rPr>
                <w:rFonts w:ascii="宋体" w:eastAsia="宋体" w:hAnsi="宋体" w:cs="宋体" w:hint="eastAsia"/>
                <w:sz w:val="21"/>
                <w:szCs w:val="21"/>
              </w:rPr>
              <w:t>以给予回扣、恶意压低收费等方式进行不正当竞争</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Merge/>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trHeight w:val="357"/>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line="240" w:lineRule="exact"/>
              <w:rPr>
                <w:rFonts w:ascii="宋体" w:eastAsia="宋体" w:hAnsi="宋体" w:cs="宋体"/>
                <w:sz w:val="21"/>
                <w:szCs w:val="21"/>
              </w:rPr>
            </w:pPr>
            <w:r w:rsidRPr="00C6737E">
              <w:rPr>
                <w:rFonts w:ascii="宋体" w:eastAsia="宋体" w:hAnsi="宋体" w:cs="宋体"/>
                <w:sz w:val="21"/>
                <w:szCs w:val="21"/>
              </w:rPr>
              <w:t>10</w:t>
            </w:r>
            <w:r w:rsidRPr="00C6737E">
              <w:rPr>
                <w:rFonts w:ascii="宋体" w:eastAsia="宋体" w:hAnsi="宋体" w:cs="宋体" w:hint="eastAsia"/>
                <w:sz w:val="21"/>
                <w:szCs w:val="21"/>
              </w:rPr>
              <w:t>、转包承接的工程造价咨询业务</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Merge/>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11</w:t>
            </w:r>
            <w:r w:rsidRPr="00C6737E">
              <w:rPr>
                <w:rFonts w:ascii="宋体" w:eastAsia="宋体" w:hAnsi="宋体" w:cs="宋体" w:hint="eastAsia"/>
                <w:color w:val="000000"/>
                <w:sz w:val="21"/>
                <w:szCs w:val="21"/>
              </w:rPr>
              <w:t>、</w:t>
            </w:r>
            <w:r w:rsidRPr="00C6737E">
              <w:rPr>
                <w:rFonts w:ascii="宋体" w:eastAsia="宋体" w:hAnsi="宋体" w:cs="宋体" w:hint="eastAsia"/>
                <w:sz w:val="21"/>
                <w:szCs w:val="21"/>
              </w:rPr>
              <w:t>未经委托人书面同意，对外提供工程造价咨询服务过程中获知的当事人的商业秘密和业务资料</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Merge/>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line="240" w:lineRule="exact"/>
              <w:rPr>
                <w:rFonts w:ascii="宋体" w:eastAsia="宋体" w:hAnsi="宋体" w:cs="宋体"/>
                <w:sz w:val="21"/>
                <w:szCs w:val="21"/>
              </w:rPr>
            </w:pPr>
            <w:r w:rsidRPr="00C6737E">
              <w:rPr>
                <w:rFonts w:ascii="宋体" w:eastAsia="宋体" w:hAnsi="宋体" w:cs="宋体"/>
                <w:sz w:val="21"/>
                <w:szCs w:val="21"/>
              </w:rPr>
              <w:t>12</w:t>
            </w:r>
            <w:r w:rsidRPr="00C6737E">
              <w:rPr>
                <w:rFonts w:ascii="宋体" w:eastAsia="宋体" w:hAnsi="宋体" w:cs="宋体" w:hint="eastAsia"/>
                <w:sz w:val="21"/>
                <w:szCs w:val="21"/>
              </w:rPr>
              <w:t>、其他法律、法规和相关规定明令禁止的行为</w:t>
            </w:r>
          </w:p>
        </w:tc>
        <w:tc>
          <w:tcPr>
            <w:tcW w:w="1538" w:type="pct"/>
            <w:vMerge/>
            <w:vAlign w:val="center"/>
          </w:tcPr>
          <w:p w:rsidR="00BB2263" w:rsidRPr="00C6737E" w:rsidRDefault="00BB2263" w:rsidP="00C6737E">
            <w:pPr>
              <w:spacing w:after="0"/>
              <w:jc w:val="center"/>
              <w:rPr>
                <w:rFonts w:ascii="宋体" w:eastAsia="宋体" w:hAnsi="宋体" w:cs="宋体"/>
                <w:sz w:val="21"/>
                <w:szCs w:val="21"/>
              </w:rPr>
            </w:pPr>
          </w:p>
        </w:tc>
        <w:tc>
          <w:tcPr>
            <w:tcW w:w="941" w:type="pct"/>
            <w:vMerge/>
            <w:vAlign w:val="center"/>
          </w:tcPr>
          <w:p w:rsidR="00BB2263" w:rsidRPr="00C6737E" w:rsidRDefault="00BB2263" w:rsidP="00C6737E">
            <w:pPr>
              <w:spacing w:after="0" w:line="220" w:lineRule="atLeast"/>
              <w:rPr>
                <w:rFonts w:ascii="宋体" w:eastAsia="宋体" w:hAnsi="宋体" w:cs="宋体"/>
                <w:sz w:val="21"/>
                <w:szCs w:val="21"/>
              </w:rPr>
            </w:pPr>
          </w:p>
        </w:tc>
      </w:tr>
      <w:tr w:rsidR="00BB2263" w:rsidRPr="00C6737E" w:rsidTr="00C6737E">
        <w:trPr>
          <w:gridAfter w:val="1"/>
          <w:wAfter w:w="96" w:type="dxa"/>
          <w:jc w:val="center"/>
        </w:trPr>
        <w:tc>
          <w:tcPr>
            <w:tcW w:w="523" w:type="pct"/>
            <w:vMerge w:val="restart"/>
            <w:vAlign w:val="center"/>
          </w:tcPr>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奖</w:t>
            </w:r>
            <w:r w:rsidRPr="00C6737E">
              <w:rPr>
                <w:rFonts w:ascii="宋体" w:eastAsia="宋体" w:hAnsi="宋体" w:cs="宋体"/>
                <w:color w:val="000000"/>
                <w:sz w:val="21"/>
                <w:szCs w:val="21"/>
              </w:rPr>
              <w:t xml:space="preserve">  </w:t>
            </w:r>
            <w:r w:rsidRPr="00C6737E">
              <w:rPr>
                <w:rFonts w:ascii="宋体" w:eastAsia="宋体" w:hAnsi="宋体" w:cs="宋体" w:hint="eastAsia"/>
                <w:color w:val="000000"/>
                <w:sz w:val="21"/>
                <w:szCs w:val="21"/>
              </w:rPr>
              <w:t>励</w:t>
            </w:r>
          </w:p>
          <w:p w:rsidR="00BB2263" w:rsidRPr="00C6737E" w:rsidRDefault="00BB2263" w:rsidP="00C6737E">
            <w:pPr>
              <w:spacing w:after="0"/>
              <w:jc w:val="center"/>
              <w:rPr>
                <w:rFonts w:ascii="宋体" w:eastAsia="宋体" w:hAnsi="宋体" w:cs="宋体"/>
                <w:color w:val="000000"/>
                <w:sz w:val="21"/>
                <w:szCs w:val="21"/>
              </w:rPr>
            </w:pPr>
            <w:r w:rsidRPr="00C6737E">
              <w:rPr>
                <w:rFonts w:ascii="宋体" w:eastAsia="宋体" w:hAnsi="宋体" w:cs="宋体" w:hint="eastAsia"/>
                <w:color w:val="000000"/>
                <w:sz w:val="21"/>
                <w:szCs w:val="21"/>
              </w:rPr>
              <w:t>（加分项）</w:t>
            </w:r>
          </w:p>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w:t>
            </w:r>
            <w:r w:rsidRPr="00C6737E">
              <w:rPr>
                <w:rFonts w:ascii="宋体" w:eastAsia="宋体" w:hAnsi="宋体" w:cs="宋体"/>
                <w:sz w:val="21"/>
                <w:szCs w:val="21"/>
              </w:rPr>
              <w:t>15</w:t>
            </w:r>
            <w:r w:rsidRPr="00C6737E">
              <w:rPr>
                <w:rFonts w:ascii="宋体" w:eastAsia="宋体" w:hAnsi="宋体" w:cs="宋体" w:hint="eastAsia"/>
                <w:sz w:val="21"/>
                <w:szCs w:val="21"/>
              </w:rPr>
              <w:t>分）</w:t>
            </w:r>
          </w:p>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1</w:t>
            </w:r>
            <w:r w:rsidRPr="00C6737E">
              <w:rPr>
                <w:rFonts w:ascii="宋体" w:eastAsia="宋体" w:hAnsi="宋体" w:cs="宋体" w:hint="eastAsia"/>
                <w:color w:val="000000"/>
                <w:sz w:val="21"/>
                <w:szCs w:val="21"/>
              </w:rPr>
              <w:t>、参与国家或地方行业标准、定额编制的</w:t>
            </w:r>
          </w:p>
        </w:tc>
        <w:tc>
          <w:tcPr>
            <w:tcW w:w="1538" w:type="pct"/>
            <w:vMerge w:val="restart"/>
            <w:vAlign w:val="center"/>
          </w:tcPr>
          <w:p w:rsidR="00BB2263" w:rsidRPr="00C6737E" w:rsidRDefault="00BB2263" w:rsidP="00C6737E">
            <w:pPr>
              <w:spacing w:after="0"/>
              <w:jc w:val="center"/>
              <w:rPr>
                <w:rFonts w:ascii="宋体" w:eastAsia="宋体" w:hAnsi="宋体" w:cs="宋体"/>
                <w:sz w:val="21"/>
                <w:szCs w:val="21"/>
              </w:rPr>
            </w:pPr>
            <w:r w:rsidRPr="00C6737E">
              <w:rPr>
                <w:rFonts w:ascii="宋体" w:eastAsia="宋体" w:hAnsi="宋体" w:cs="宋体" w:hint="eastAsia"/>
                <w:sz w:val="21"/>
                <w:szCs w:val="21"/>
              </w:rPr>
              <w:t>《河南省住房和城乡建设厅关于开展工程造价咨询企业随机抽查暨信用评价工作的通知》</w:t>
            </w:r>
            <w:r w:rsidRPr="00C6737E">
              <w:rPr>
                <w:rFonts w:ascii="宋体" w:eastAsia="宋体" w:hAnsi="宋体" w:cs="宋体"/>
                <w:sz w:val="21"/>
                <w:szCs w:val="21"/>
              </w:rPr>
              <w:t xml:space="preserve">  </w:t>
            </w:r>
          </w:p>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hint="eastAsia"/>
                <w:sz w:val="21"/>
                <w:szCs w:val="21"/>
              </w:rPr>
              <w:t>（</w:t>
            </w:r>
            <w:r w:rsidRPr="00C6737E">
              <w:rPr>
                <w:rFonts w:ascii="宋体" w:eastAsia="宋体" w:hAnsi="宋体" w:cs="宋体" w:hint="eastAsia"/>
                <w:color w:val="666666"/>
                <w:sz w:val="21"/>
                <w:szCs w:val="21"/>
              </w:rPr>
              <w:t>豫建科〔</w:t>
            </w:r>
            <w:r w:rsidRPr="00C6737E">
              <w:rPr>
                <w:rFonts w:ascii="宋体" w:eastAsia="宋体" w:hAnsi="宋体" w:cs="宋体"/>
                <w:color w:val="666666"/>
                <w:sz w:val="21"/>
                <w:szCs w:val="21"/>
              </w:rPr>
              <w:t>2019</w:t>
            </w:r>
            <w:r w:rsidRPr="00C6737E">
              <w:rPr>
                <w:rFonts w:ascii="宋体" w:eastAsia="宋体" w:hAnsi="宋体" w:cs="宋体" w:hint="eastAsia"/>
                <w:color w:val="666666"/>
                <w:sz w:val="21"/>
                <w:szCs w:val="21"/>
              </w:rPr>
              <w:t>〕</w:t>
            </w:r>
            <w:r w:rsidRPr="00C6737E">
              <w:rPr>
                <w:rFonts w:ascii="宋体" w:eastAsia="宋体" w:hAnsi="宋体" w:cs="宋体"/>
                <w:color w:val="666666"/>
                <w:sz w:val="21"/>
                <w:szCs w:val="21"/>
              </w:rPr>
              <w:t>281</w:t>
            </w:r>
            <w:r w:rsidRPr="00C6737E">
              <w:rPr>
                <w:rFonts w:ascii="宋体" w:eastAsia="宋体" w:hAnsi="宋体" w:cs="宋体" w:hint="eastAsia"/>
                <w:color w:val="666666"/>
                <w:sz w:val="21"/>
                <w:szCs w:val="21"/>
              </w:rPr>
              <w:t>号</w:t>
            </w:r>
            <w:r w:rsidRPr="00C6737E">
              <w:rPr>
                <w:rFonts w:ascii="宋体" w:eastAsia="宋体" w:hAnsi="宋体" w:cs="宋体"/>
                <w:color w:val="666666"/>
                <w:sz w:val="21"/>
                <w:szCs w:val="21"/>
              </w:rPr>
              <w:t> </w:t>
            </w:r>
            <w:r w:rsidRPr="00C6737E">
              <w:rPr>
                <w:rFonts w:ascii="宋体" w:eastAsia="宋体" w:hAnsi="宋体" w:cs="宋体" w:hint="eastAsia"/>
                <w:color w:val="666666"/>
                <w:sz w:val="21"/>
                <w:szCs w:val="21"/>
              </w:rPr>
              <w:t>）</w:t>
            </w: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2</w:t>
            </w:r>
            <w:r w:rsidRPr="00C6737E">
              <w:rPr>
                <w:rFonts w:ascii="宋体" w:eastAsia="宋体" w:hAnsi="宋体" w:cs="宋体" w:hint="eastAsia"/>
                <w:color w:val="000000"/>
                <w:sz w:val="21"/>
                <w:szCs w:val="21"/>
              </w:rPr>
              <w:t>、获得省级行业表彰或省级及以上期刊上发表与业务领域相关论文</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r w:rsidR="00BB2263" w:rsidRPr="00C6737E" w:rsidTr="00C6737E">
        <w:trPr>
          <w:gridAfter w:val="1"/>
          <w:wAfter w:w="96" w:type="dxa"/>
          <w:jc w:val="center"/>
        </w:trPr>
        <w:tc>
          <w:tcPr>
            <w:tcW w:w="523" w:type="pct"/>
            <w:vMerge/>
            <w:vAlign w:val="center"/>
          </w:tcPr>
          <w:p w:rsidR="00BB2263" w:rsidRPr="00C6737E" w:rsidRDefault="00BB2263" w:rsidP="00C6737E">
            <w:pPr>
              <w:spacing w:after="0"/>
              <w:jc w:val="center"/>
              <w:rPr>
                <w:rFonts w:ascii="宋体" w:eastAsia="宋体" w:hAnsi="宋体" w:cs="宋体"/>
                <w:color w:val="000000"/>
                <w:sz w:val="21"/>
                <w:szCs w:val="21"/>
              </w:rPr>
            </w:pPr>
          </w:p>
        </w:tc>
        <w:tc>
          <w:tcPr>
            <w:tcW w:w="1964" w:type="pct"/>
            <w:vAlign w:val="center"/>
          </w:tcPr>
          <w:p w:rsidR="00BB2263" w:rsidRPr="00C6737E" w:rsidRDefault="00BB2263" w:rsidP="00C6737E">
            <w:pPr>
              <w:spacing w:after="0"/>
              <w:rPr>
                <w:rFonts w:ascii="宋体" w:eastAsia="宋体" w:hAnsi="宋体" w:cs="宋体"/>
                <w:color w:val="000000"/>
                <w:sz w:val="21"/>
                <w:szCs w:val="21"/>
              </w:rPr>
            </w:pPr>
            <w:r w:rsidRPr="00C6737E">
              <w:rPr>
                <w:rFonts w:ascii="宋体" w:eastAsia="宋体" w:hAnsi="宋体" w:cs="宋体"/>
                <w:color w:val="000000"/>
                <w:sz w:val="21"/>
                <w:szCs w:val="21"/>
              </w:rPr>
              <w:t>3</w:t>
            </w:r>
            <w:r w:rsidRPr="00C6737E">
              <w:rPr>
                <w:rFonts w:ascii="宋体" w:eastAsia="宋体" w:hAnsi="宋体" w:cs="宋体" w:hint="eastAsia"/>
                <w:color w:val="000000"/>
                <w:sz w:val="21"/>
                <w:szCs w:val="21"/>
              </w:rPr>
              <w:t>、获得市级行业表彰或参与执业检查、标准评审、资质评审的</w:t>
            </w:r>
          </w:p>
        </w:tc>
        <w:tc>
          <w:tcPr>
            <w:tcW w:w="1538" w:type="pct"/>
            <w:vMerge/>
            <w:vAlign w:val="center"/>
          </w:tcPr>
          <w:p w:rsidR="00BB2263" w:rsidRPr="00C6737E" w:rsidRDefault="00BB2263" w:rsidP="00C6737E">
            <w:pPr>
              <w:spacing w:after="0" w:line="220" w:lineRule="atLeast"/>
              <w:jc w:val="center"/>
              <w:rPr>
                <w:rFonts w:ascii="宋体" w:eastAsia="宋体" w:hAnsi="宋体" w:cs="宋体"/>
                <w:sz w:val="21"/>
                <w:szCs w:val="21"/>
              </w:rPr>
            </w:pPr>
          </w:p>
        </w:tc>
        <w:tc>
          <w:tcPr>
            <w:tcW w:w="941" w:type="pct"/>
            <w:vAlign w:val="center"/>
          </w:tcPr>
          <w:p w:rsidR="00BB2263" w:rsidRPr="00C6737E" w:rsidRDefault="00BB2263" w:rsidP="00C6737E">
            <w:pPr>
              <w:spacing w:after="0" w:line="220" w:lineRule="atLeast"/>
              <w:jc w:val="center"/>
              <w:rPr>
                <w:rFonts w:ascii="宋体" w:eastAsia="宋体" w:hAnsi="宋体" w:cs="宋体"/>
                <w:sz w:val="21"/>
                <w:szCs w:val="21"/>
              </w:rPr>
            </w:pPr>
            <w:r w:rsidRPr="00C6737E">
              <w:rPr>
                <w:rFonts w:ascii="宋体" w:eastAsia="宋体" w:hAnsi="宋体" w:cs="宋体"/>
                <w:sz w:val="21"/>
                <w:szCs w:val="21"/>
              </w:rPr>
              <w:t>5</w:t>
            </w:r>
            <w:r w:rsidRPr="00C6737E">
              <w:rPr>
                <w:rFonts w:ascii="宋体" w:eastAsia="宋体" w:hAnsi="宋体" w:cs="宋体" w:hint="eastAsia"/>
                <w:color w:val="000000"/>
                <w:sz w:val="21"/>
                <w:szCs w:val="21"/>
              </w:rPr>
              <w:t>分</w:t>
            </w:r>
          </w:p>
        </w:tc>
      </w:tr>
    </w:tbl>
    <w:p w:rsidR="00BB2263" w:rsidRDefault="00BB2263">
      <w:pPr>
        <w:spacing w:line="220" w:lineRule="atLeast"/>
        <w:rPr>
          <w:rFonts w:ascii="宋体" w:eastAsia="宋体" w:hAnsi="宋体" w:cs="宋体"/>
          <w:sz w:val="21"/>
          <w:szCs w:val="21"/>
        </w:rPr>
      </w:pPr>
    </w:p>
    <w:sectPr w:rsidR="00BB2263" w:rsidSect="00520587">
      <w:pgSz w:w="16838" w:h="11906" w:orient="landscape"/>
      <w:pgMar w:top="1474" w:right="1440" w:bottom="73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es New Roma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7EC4"/>
    <w:rsid w:val="001100AE"/>
    <w:rsid w:val="00117E15"/>
    <w:rsid w:val="00275CC5"/>
    <w:rsid w:val="00323B43"/>
    <w:rsid w:val="00331B19"/>
    <w:rsid w:val="003850F2"/>
    <w:rsid w:val="003D37D8"/>
    <w:rsid w:val="00426133"/>
    <w:rsid w:val="004358AB"/>
    <w:rsid w:val="00520587"/>
    <w:rsid w:val="006F2DDF"/>
    <w:rsid w:val="007A64FB"/>
    <w:rsid w:val="007E4FD4"/>
    <w:rsid w:val="008B7726"/>
    <w:rsid w:val="00991FC0"/>
    <w:rsid w:val="00A935F4"/>
    <w:rsid w:val="00B653A6"/>
    <w:rsid w:val="00BB2263"/>
    <w:rsid w:val="00C6737E"/>
    <w:rsid w:val="00CD1CA5"/>
    <w:rsid w:val="00D31D50"/>
    <w:rsid w:val="00DB09FD"/>
    <w:rsid w:val="00E76F3E"/>
    <w:rsid w:val="00FE3F79"/>
    <w:rsid w:val="00FE49F4"/>
    <w:rsid w:val="03FD5F1F"/>
    <w:rsid w:val="04BE748A"/>
    <w:rsid w:val="04D16DEA"/>
    <w:rsid w:val="08ED320B"/>
    <w:rsid w:val="0B660DEB"/>
    <w:rsid w:val="0EC34F7E"/>
    <w:rsid w:val="132C6B36"/>
    <w:rsid w:val="15747F05"/>
    <w:rsid w:val="199547A5"/>
    <w:rsid w:val="1A4B6371"/>
    <w:rsid w:val="208E5BE8"/>
    <w:rsid w:val="22242F95"/>
    <w:rsid w:val="23406300"/>
    <w:rsid w:val="33B627CA"/>
    <w:rsid w:val="3EB62A1D"/>
    <w:rsid w:val="4229703A"/>
    <w:rsid w:val="439C0688"/>
    <w:rsid w:val="46223BF6"/>
    <w:rsid w:val="4A1D41B6"/>
    <w:rsid w:val="4ED357D9"/>
    <w:rsid w:val="521063D0"/>
    <w:rsid w:val="540D6996"/>
    <w:rsid w:val="5E854BA6"/>
    <w:rsid w:val="64F7125A"/>
    <w:rsid w:val="68196A46"/>
    <w:rsid w:val="6A995B3C"/>
    <w:rsid w:val="72E23131"/>
    <w:rsid w:val="7466261B"/>
    <w:rsid w:val="74E660D7"/>
    <w:rsid w:val="7767733A"/>
    <w:rsid w:val="787439C9"/>
    <w:rsid w:val="7D2B174E"/>
    <w:rsid w:val="7FD749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87"/>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0587"/>
    <w:pPr>
      <w:spacing w:after="0"/>
    </w:pPr>
    <w:rPr>
      <w:sz w:val="18"/>
      <w:szCs w:val="18"/>
    </w:rPr>
  </w:style>
  <w:style w:type="character" w:customStyle="1" w:styleId="BalloonTextChar">
    <w:name w:val="Balloon Text Char"/>
    <w:basedOn w:val="DefaultParagraphFont"/>
    <w:link w:val="BalloonText"/>
    <w:uiPriority w:val="99"/>
    <w:semiHidden/>
    <w:locked/>
    <w:rsid w:val="00520587"/>
    <w:rPr>
      <w:rFonts w:ascii="Tahoma" w:hAnsi="Tahoma" w:cs="Times New Roman"/>
      <w:sz w:val="18"/>
      <w:szCs w:val="18"/>
    </w:rPr>
  </w:style>
  <w:style w:type="paragraph" w:styleId="Footer">
    <w:name w:val="footer"/>
    <w:basedOn w:val="Normal"/>
    <w:link w:val="FooterChar"/>
    <w:uiPriority w:val="99"/>
    <w:semiHidden/>
    <w:rsid w:val="0052058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520587"/>
    <w:rPr>
      <w:rFonts w:ascii="Tahoma" w:hAnsi="Tahoma" w:cs="Times New Roman"/>
      <w:sz w:val="18"/>
      <w:szCs w:val="18"/>
    </w:rPr>
  </w:style>
  <w:style w:type="paragraph" w:styleId="Header">
    <w:name w:val="header"/>
    <w:basedOn w:val="Normal"/>
    <w:link w:val="HeaderChar"/>
    <w:uiPriority w:val="99"/>
    <w:semiHidden/>
    <w:rsid w:val="0052058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520587"/>
    <w:rPr>
      <w:rFonts w:ascii="Tahoma" w:hAnsi="Tahoma" w:cs="Times New Roman"/>
      <w:sz w:val="18"/>
      <w:szCs w:val="18"/>
    </w:rPr>
  </w:style>
  <w:style w:type="paragraph" w:styleId="NormalWeb">
    <w:name w:val="Normal (Web)"/>
    <w:basedOn w:val="Normal"/>
    <w:uiPriority w:val="99"/>
    <w:semiHidden/>
    <w:rsid w:val="00520587"/>
    <w:pPr>
      <w:adjustRightInd/>
      <w:snapToGrid/>
      <w:spacing w:before="100" w:beforeAutospacing="1" w:after="100" w:afterAutospacing="1"/>
    </w:pPr>
    <w:rPr>
      <w:rFonts w:ascii="宋体" w:eastAsia="宋体" w:hAnsi="宋体" w:cs="宋体"/>
      <w:sz w:val="24"/>
      <w:szCs w:val="24"/>
    </w:rPr>
  </w:style>
  <w:style w:type="table" w:styleId="TableGrid">
    <w:name w:val="Table Grid"/>
    <w:basedOn w:val="TableNormal"/>
    <w:uiPriority w:val="99"/>
    <w:rsid w:val="005205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488</Words>
  <Characters>2784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10</cp:revision>
  <cp:lastPrinted>2020-08-12T02:39:00Z</cp:lastPrinted>
  <dcterms:created xsi:type="dcterms:W3CDTF">2008-09-11T17:20:00Z</dcterms:created>
  <dcterms:modified xsi:type="dcterms:W3CDTF">2021-01-11T02:04:00Z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