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</w:t>
      </w:r>
    </w:p>
    <w:p>
      <w:pPr>
        <w:pStyle w:val="10"/>
        <w:ind w:firstLine="0" w:firstLineChars="0"/>
        <w:jc w:val="center"/>
        <w:rPr>
          <w:rFonts w:ascii="黑体" w:hAnsi="黑体" w:eastAsia="黑体"/>
          <w:sz w:val="28"/>
          <w:szCs w:val="28"/>
        </w:rPr>
      </w:pPr>
    </w:p>
    <w:p>
      <w:pPr>
        <w:pStyle w:val="10"/>
        <w:ind w:firstLine="0" w:firstLineChars="0"/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28"/>
          <w:szCs w:val="28"/>
        </w:rPr>
        <w:t xml:space="preserve">                      </w:t>
      </w:r>
      <w:r>
        <w:rPr>
          <w:rFonts w:ascii="黑体" w:hAnsi="黑体" w:eastAsia="黑体"/>
          <w:sz w:val="28"/>
          <w:szCs w:val="28"/>
          <w:lang w:val="en-US" w:eastAsia="zh-CN"/>
        </w:rPr>
        <w:t>TE410200NYNC000001300012007100005</w:t>
      </w:r>
    </w:p>
    <w:p>
      <w:pPr>
        <w:pStyle w:val="10"/>
        <w:ind w:firstLine="0" w:firstLineChars="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生猪定点屠宰场变更（法人、名称）审查</w:t>
      </w:r>
      <w:r>
        <w:rPr>
          <w:rFonts w:hint="eastAsia" w:ascii="黑体" w:hAnsi="黑体" w:eastAsia="黑体"/>
          <w:sz w:val="52"/>
          <w:szCs w:val="52"/>
        </w:rPr>
        <w:t>服务指南</w:t>
      </w: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422"/>
        <w:jc w:val="center"/>
        <w:rPr>
          <w:b/>
          <w:szCs w:val="21"/>
          <w:u w:val="thick"/>
        </w:rPr>
      </w:pPr>
      <w:r>
        <w:rPr>
          <w:rFonts w:hint="eastAsia"/>
          <w:b/>
          <w:szCs w:val="21"/>
          <w:u w:val="thick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thick"/>
        </w:rPr>
        <w:t>201</w:t>
      </w:r>
      <w:r>
        <w:rPr>
          <w:rFonts w:ascii="黑体" w:hAnsi="黑体" w:eastAsia="黑体"/>
          <w:sz w:val="28"/>
          <w:szCs w:val="28"/>
          <w:u w:val="thick"/>
        </w:rPr>
        <w:t>9</w:t>
      </w:r>
      <w:r>
        <w:rPr>
          <w:rFonts w:hint="eastAsia" w:ascii="黑体" w:hAnsi="黑体" w:eastAsia="黑体"/>
          <w:sz w:val="28"/>
          <w:szCs w:val="28"/>
          <w:u w:val="thick"/>
        </w:rPr>
        <w:t>-</w:t>
      </w:r>
      <w:r>
        <w:rPr>
          <w:rFonts w:ascii="黑体" w:hAnsi="黑体" w:eastAsia="黑体"/>
          <w:sz w:val="28"/>
          <w:szCs w:val="28"/>
          <w:u w:val="thick"/>
        </w:rPr>
        <w:t>6</w:t>
      </w:r>
      <w:r>
        <w:rPr>
          <w:rFonts w:hint="eastAsia" w:ascii="黑体" w:hAnsi="黑体" w:eastAsia="黑体"/>
          <w:sz w:val="28"/>
          <w:szCs w:val="28"/>
          <w:u w:val="thick"/>
        </w:rPr>
        <w:t>-</w:t>
      </w:r>
      <w:r>
        <w:rPr>
          <w:rFonts w:ascii="黑体" w:hAnsi="黑体" w:eastAsia="黑体"/>
          <w:sz w:val="28"/>
          <w:szCs w:val="28"/>
          <w:u w:val="thick"/>
        </w:rPr>
        <w:t>01</w:t>
      </w:r>
      <w:r>
        <w:rPr>
          <w:rFonts w:hint="eastAsia" w:ascii="黑体" w:hAnsi="黑体" w:eastAsia="黑体"/>
          <w:sz w:val="28"/>
          <w:szCs w:val="28"/>
          <w:u w:val="thick"/>
        </w:rPr>
        <w:t>发布</w:t>
      </w:r>
      <w:r>
        <w:rPr>
          <w:rFonts w:hint="eastAsia"/>
          <w:sz w:val="28"/>
          <w:szCs w:val="28"/>
          <w:u w:val="thick"/>
        </w:rPr>
        <w:t xml:space="preserve"> </w:t>
      </w:r>
      <w:r>
        <w:rPr>
          <w:rFonts w:hint="eastAsia"/>
          <w:szCs w:val="21"/>
          <w:u w:val="thick"/>
        </w:rPr>
        <w:t xml:space="preserve">                                </w:t>
      </w:r>
      <w:r>
        <w:rPr>
          <w:rFonts w:hint="eastAsia" w:ascii="黑体" w:hAnsi="黑体" w:eastAsia="黑体"/>
          <w:sz w:val="28"/>
          <w:szCs w:val="28"/>
          <w:u w:val="thick"/>
        </w:rPr>
        <w:t>201</w:t>
      </w:r>
      <w:r>
        <w:rPr>
          <w:rFonts w:ascii="黑体" w:hAnsi="黑体" w:eastAsia="黑体"/>
          <w:sz w:val="28"/>
          <w:szCs w:val="28"/>
          <w:u w:val="thick"/>
        </w:rPr>
        <w:t>9</w:t>
      </w:r>
      <w:r>
        <w:rPr>
          <w:rFonts w:hint="eastAsia" w:ascii="黑体" w:hAnsi="黑体" w:eastAsia="黑体"/>
          <w:sz w:val="28"/>
          <w:szCs w:val="28"/>
          <w:u w:val="thick"/>
        </w:rPr>
        <w:t>-</w:t>
      </w:r>
      <w:r>
        <w:rPr>
          <w:rFonts w:ascii="黑体" w:hAnsi="黑体" w:eastAsia="黑体"/>
          <w:sz w:val="28"/>
          <w:szCs w:val="28"/>
          <w:u w:val="thick"/>
        </w:rPr>
        <w:t>7</w:t>
      </w:r>
      <w:r>
        <w:rPr>
          <w:rFonts w:hint="eastAsia" w:ascii="黑体" w:hAnsi="黑体" w:eastAsia="黑体"/>
          <w:sz w:val="28"/>
          <w:szCs w:val="28"/>
          <w:u w:val="thick"/>
        </w:rPr>
        <w:t>-01实施</w:t>
      </w:r>
      <w:r>
        <w:rPr>
          <w:rFonts w:hint="eastAsia"/>
          <w:szCs w:val="21"/>
          <w:u w:val="thick"/>
        </w:rPr>
        <w:t xml:space="preserve"> </w:t>
      </w: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开封市农业农村局   发布</w:t>
      </w:r>
    </w:p>
    <w:p>
      <w:pPr>
        <w:pStyle w:val="10"/>
        <w:ind w:firstLine="560"/>
        <w:jc w:val="center"/>
        <w:rPr>
          <w:rFonts w:ascii="黑体" w:hAnsi="黑体" w:eastAsia="黑体"/>
          <w:sz w:val="28"/>
          <w:szCs w:val="28"/>
        </w:rPr>
      </w:pPr>
    </w:p>
    <w:p>
      <w:pPr>
        <w:pStyle w:val="10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0"/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生猪定点屠宰场变更（法人、名称）审查</w:t>
      </w:r>
      <w:r>
        <w:rPr>
          <w:rFonts w:hint="eastAsia" w:ascii="黑体" w:hAnsi="黑体" w:eastAsia="黑体"/>
          <w:sz w:val="32"/>
          <w:szCs w:val="32"/>
        </w:rPr>
        <w:t>服务指南</w:t>
      </w: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一、事项编码</w:t>
      </w:r>
    </w:p>
    <w:p>
      <w:pPr>
        <w:pStyle w:val="10"/>
        <w:spacing w:before="156" w:beforeLines="50" w:after="156" w:afterLines="50"/>
        <w:ind w:firstLine="0" w:firstLineChars="0"/>
        <w:jc w:val="left"/>
      </w:pPr>
      <w:r>
        <w:rPr>
          <w:lang w:val="en-US" w:eastAsia="zh-CN"/>
        </w:rPr>
        <w:t>TE410200NYNC000001300012007100005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二、适用范围</w:t>
      </w:r>
    </w:p>
    <w:p>
      <w:pPr>
        <w:pStyle w:val="10"/>
        <w:spacing w:before="156" w:beforeLines="50" w:after="156" w:afterLines="50"/>
        <w:jc w:val="left"/>
      </w:pPr>
      <w:r>
        <w:rPr>
          <w:rFonts w:hint="eastAsia"/>
        </w:rPr>
        <w:t>涉及内容：适用于本行政区域内</w:t>
      </w:r>
      <w:r>
        <w:rPr>
          <w:rFonts w:hint="eastAsia"/>
          <w:lang w:val="en-US" w:eastAsia="zh-CN"/>
        </w:rPr>
        <w:t>生猪定点屠宰场变更（法人、名称）审查</w:t>
      </w:r>
      <w:r>
        <w:rPr>
          <w:rFonts w:hint="eastAsia"/>
        </w:rPr>
        <w:t>的申请与受理</w:t>
      </w:r>
    </w:p>
    <w:p>
      <w:pPr>
        <w:pStyle w:val="10"/>
        <w:spacing w:before="156" w:beforeLines="50" w:after="156" w:afterLines="50"/>
        <w:jc w:val="left"/>
      </w:pPr>
      <w:r>
        <w:rPr>
          <w:rFonts w:hint="eastAsia"/>
        </w:rPr>
        <w:t>适用对象：法人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三、事项类型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行政许可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四、设立依据</w:t>
      </w:r>
    </w:p>
    <w:p>
      <w:pPr>
        <w:pStyle w:val="10"/>
        <w:spacing w:before="156" w:beforeLines="50" w:after="156" w:afterLines="50"/>
        <w:ind w:firstLine="0" w:firstLineChars="0"/>
        <w:jc w:val="left"/>
      </w:pPr>
      <w:r>
        <w:rPr>
          <w:rFonts w:hint="eastAsia"/>
          <w:lang w:val="en-US" w:eastAsia="zh-CN"/>
        </w:rPr>
        <w:t>《生猪屠宰管理条例》（1997年12月19日国务院令第238号，2016年2月6日予以修改）第六条：生猪定点屠宰厂（场）由设区的市级人民政府根据设置规划，组织畜牧兽医主管部门、环境保护部门以及其他有关部门，依照本条例规定的条件进行审查，经征求省、自治区、直辖市人民政府畜牧兽医主管部门的意见确定，并颁发生猪定点屠宰证书和生猪定点屠宰标志牌。设区的市级人民政府应当将其确定的生猪定点屠宰厂（场）名单及时向社会公布，并报省、自治区、直辖市人民政府备案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五、受理机构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开封市农业农村局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六、决定机构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开封市农业农村局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七、办理条件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无审批</w:t>
      </w:r>
      <w:r>
        <w:t>数量</w:t>
      </w:r>
      <w:r>
        <w:rPr>
          <w:rFonts w:hint="eastAsia"/>
        </w:rPr>
        <w:t>的限制。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八、申办材料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申办材料应符合以下要求：</w:t>
      </w:r>
    </w:p>
    <w:tbl>
      <w:tblPr>
        <w:tblStyle w:val="5"/>
        <w:tblW w:w="9080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767"/>
        <w:gridCol w:w="1276"/>
        <w:gridCol w:w="666"/>
        <w:gridCol w:w="666"/>
        <w:gridCol w:w="1154"/>
        <w:gridCol w:w="1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提交材料名称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原件/复印件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纸质/电子版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  <w:t>河南省生猪定点屠宰证书申请书</w:t>
            </w:r>
          </w:p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《动物防疫条件合格证》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建设项目环境影响评价报告书批复或《排污许可证》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原法定代表人和拟变更法定代表人签订的同意变更证明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>商营业执照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</w:tbl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九、受理方式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（一）窗口受理：开封</w:t>
      </w:r>
      <w:r>
        <w:t>市</w:t>
      </w:r>
      <w:r>
        <w:rPr>
          <w:rFonts w:hint="eastAsia"/>
        </w:rPr>
        <w:t>民</w:t>
      </w:r>
      <w:r>
        <w:t>之家</w:t>
      </w:r>
      <w:r>
        <w:rPr>
          <w:rFonts w:hint="eastAsia"/>
        </w:rPr>
        <w:t>政务服务大厅提交申办材料。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（二）网上申报：登录开封</w:t>
      </w:r>
      <w:r>
        <w:t>市</w:t>
      </w:r>
      <w:r>
        <w:rPr>
          <w:rFonts w:hint="eastAsia"/>
        </w:rPr>
        <w:t>政务服务网（http://kf.hnzwfw.gov.cn/）按照提示进行网上申报。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十、办理流程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（一）受理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综合受理窗口对申请材料进行审查，能当场予以确认的，应当场出具受理通知书；不能当场确认的，自收到申请材料之日起5个工作日内作出是否受理的决定；不符合规定的，向申请单位出具不予受理通知书。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（二）审查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审批机关依据审批材料进行审查，履行审批程序；符合条件的，予以审批；不符合条件的，不予办理审批，并书面说明理由。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（三）决定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审查通过的，颁发《畜</w:t>
      </w:r>
      <w:r>
        <w:t>禽</w:t>
      </w:r>
      <w:r>
        <w:rPr>
          <w:rFonts w:hint="eastAsia"/>
          <w:lang w:eastAsia="zh-CN"/>
        </w:rPr>
        <w:t>定点</w:t>
      </w:r>
      <w:r>
        <w:rPr>
          <w:rFonts w:ascii="宋体" w:hAnsi="Times New Roman" w:eastAsia="宋体" w:cs="Times New Roman"/>
          <w:kern w:val="0"/>
          <w:sz w:val="18"/>
          <w:szCs w:val="18"/>
          <w:lang w:val="en-US" w:eastAsia="zh-CN" w:bidi="ar-SA"/>
        </w:rPr>
        <w:t>屠宰</w:t>
      </w:r>
      <w:r>
        <w:t>证</w:t>
      </w:r>
      <w:r>
        <w:rPr>
          <w:rFonts w:hint="eastAsia"/>
        </w:rPr>
        <w:t>》。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十一、办理时限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（一）法定时限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自受理之日起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个工作日。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（二)承诺时限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自受理之日起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个工作日。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十二、收费依据及标准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无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十三、结果送达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自作出决定之日起</w:t>
      </w:r>
      <w:r>
        <w:t>3</w:t>
      </w:r>
      <w:r>
        <w:rPr>
          <w:rFonts w:hint="eastAsia"/>
        </w:rPr>
        <w:t>个工作日内经由现场取件或邮寄方式送达。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十四、行政救济途径与方式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（一）申请人在申请行政许可过程中，依法享有陈述权、申辩权；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（二) 申请人的行政许可申请被驳回的有权要求说明理由；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（三）申请人不服行政许可决定的，有权在收到行政许可决定之日起60日内向开封市人民政府或农业农村部申请行政复议。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十五、咨询方式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（一）现场咨询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开封市民之家二楼B区综合服务大厅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（二）电话咨询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0371-23857108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（三）网上咨询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http://kf.hnzwfw.gov.cn/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十六、监督投诉渠道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（一）现场监督投诉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开封市民之家二楼B区综合服务大厅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（二）电话监督投诉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0371-23</w:t>
      </w:r>
      <w:r>
        <w:t>666621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（三）网上监督投诉</w:t>
      </w:r>
    </w:p>
    <w:p>
      <w:pPr>
        <w:pStyle w:val="10"/>
        <w:spacing w:before="156" w:beforeLines="50" w:after="156" w:afterLines="50"/>
        <w:jc w:val="left"/>
      </w:pPr>
      <w:r>
        <w:rPr>
          <w:rFonts w:hint="eastAsia"/>
        </w:rPr>
        <w:t>http://kf.hnzwfw.gov.cn/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十七、办理地址和时间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地址：郑开大道与三大街交叉口，27路、30路、39路、56路公交车，开封市民之家二楼B区综合受理窗口</w:t>
      </w:r>
      <w:bookmarkStart w:id="0" w:name="_GoBack"/>
      <w:bookmarkEnd w:id="0"/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时间：周一至周五，上午9:00-12:00；下午13:00-17:00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十八、办理进程和结果查询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（一）办理进程查询方式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1.现场查询：开封市民之家二楼B区综合服务大厅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2.电话查询：0371-23857108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3.网上查询：http://kf.hnzwfw.gov.cn/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（二）结果公开查询方式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1.现场查询：开封市民之家二楼B区综合服务大厅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2.电话查询：0371-23857108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3.网上查询：http://kf.hnzwfw.gov.cn/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1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12"/>
    <w:rsid w:val="000042B1"/>
    <w:rsid w:val="00080771"/>
    <w:rsid w:val="00095CF5"/>
    <w:rsid w:val="000A4712"/>
    <w:rsid w:val="000B0092"/>
    <w:rsid w:val="000C75BF"/>
    <w:rsid w:val="000C75E5"/>
    <w:rsid w:val="000F5745"/>
    <w:rsid w:val="000F73B5"/>
    <w:rsid w:val="00103238"/>
    <w:rsid w:val="0016312A"/>
    <w:rsid w:val="00182BF5"/>
    <w:rsid w:val="001A6F50"/>
    <w:rsid w:val="001C435A"/>
    <w:rsid w:val="00202D7F"/>
    <w:rsid w:val="002A73A4"/>
    <w:rsid w:val="002D6D99"/>
    <w:rsid w:val="00327DC9"/>
    <w:rsid w:val="003611D9"/>
    <w:rsid w:val="00374D1C"/>
    <w:rsid w:val="00394A41"/>
    <w:rsid w:val="003D1C8B"/>
    <w:rsid w:val="003F5B2A"/>
    <w:rsid w:val="004A2C37"/>
    <w:rsid w:val="00521036"/>
    <w:rsid w:val="005336A0"/>
    <w:rsid w:val="005500D5"/>
    <w:rsid w:val="00594BFB"/>
    <w:rsid w:val="00597724"/>
    <w:rsid w:val="005A2F32"/>
    <w:rsid w:val="006133E5"/>
    <w:rsid w:val="0062066D"/>
    <w:rsid w:val="00620891"/>
    <w:rsid w:val="00626F62"/>
    <w:rsid w:val="006B4730"/>
    <w:rsid w:val="00761AB6"/>
    <w:rsid w:val="00771E36"/>
    <w:rsid w:val="00781E1F"/>
    <w:rsid w:val="007A0FC7"/>
    <w:rsid w:val="007B48BF"/>
    <w:rsid w:val="007D5A25"/>
    <w:rsid w:val="008543D3"/>
    <w:rsid w:val="00906D35"/>
    <w:rsid w:val="009249C0"/>
    <w:rsid w:val="009745A9"/>
    <w:rsid w:val="009E3461"/>
    <w:rsid w:val="009F0060"/>
    <w:rsid w:val="00A10B55"/>
    <w:rsid w:val="00A45A1B"/>
    <w:rsid w:val="00A51FF2"/>
    <w:rsid w:val="00A97985"/>
    <w:rsid w:val="00AD06A5"/>
    <w:rsid w:val="00AF4930"/>
    <w:rsid w:val="00B81AF4"/>
    <w:rsid w:val="00BD4FC8"/>
    <w:rsid w:val="00C15389"/>
    <w:rsid w:val="00C4325D"/>
    <w:rsid w:val="00C52E0E"/>
    <w:rsid w:val="00CC012C"/>
    <w:rsid w:val="00CC71F8"/>
    <w:rsid w:val="00D109E3"/>
    <w:rsid w:val="00D16262"/>
    <w:rsid w:val="00D32298"/>
    <w:rsid w:val="00D410CE"/>
    <w:rsid w:val="00D94025"/>
    <w:rsid w:val="00DB0366"/>
    <w:rsid w:val="00E04F1B"/>
    <w:rsid w:val="00E32AB7"/>
    <w:rsid w:val="00E51599"/>
    <w:rsid w:val="00E635C9"/>
    <w:rsid w:val="00EF3E07"/>
    <w:rsid w:val="00F8078F"/>
    <w:rsid w:val="00F92E21"/>
    <w:rsid w:val="00FB2D53"/>
    <w:rsid w:val="00FB2DE7"/>
    <w:rsid w:val="00FC4F39"/>
    <w:rsid w:val="00FE03A6"/>
    <w:rsid w:val="372979E6"/>
    <w:rsid w:val="3A0C02EC"/>
    <w:rsid w:val="4FAB1E9A"/>
    <w:rsid w:val="57D51F5A"/>
    <w:rsid w:val="59E65B21"/>
    <w:rsid w:val="608F4F8D"/>
    <w:rsid w:val="77830005"/>
    <w:rsid w:val="7E1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00"/>
      <w:sz w:val="14"/>
      <w:szCs w:val="14"/>
      <w:u w:val="none"/>
    </w:rPr>
  </w:style>
  <w:style w:type="paragraph" w:customStyle="1" w:styleId="10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段 Char"/>
    <w:basedOn w:val="6"/>
    <w:link w:val="10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2">
    <w:name w:val="附录标识"/>
    <w:basedOn w:val="1"/>
    <w:next w:val="10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">
    <w:name w:val="附录表标号"/>
    <w:basedOn w:val="1"/>
    <w:next w:val="10"/>
    <w:qFormat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4">
    <w:name w:val="附录表标题"/>
    <w:basedOn w:val="1"/>
    <w:next w:val="10"/>
    <w:qFormat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5">
    <w:name w:val="附录二级条标题"/>
    <w:basedOn w:val="1"/>
    <w:next w:val="10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6">
    <w:name w:val="附录三级条标题"/>
    <w:basedOn w:val="15"/>
    <w:next w:val="10"/>
    <w:qFormat/>
    <w:uiPriority w:val="0"/>
    <w:pPr>
      <w:numPr>
        <w:ilvl w:val="4"/>
      </w:numPr>
      <w:outlineLvl w:val="4"/>
    </w:pPr>
  </w:style>
  <w:style w:type="paragraph" w:customStyle="1" w:styleId="17">
    <w:name w:val="附录四级条标题"/>
    <w:basedOn w:val="16"/>
    <w:next w:val="10"/>
    <w:qFormat/>
    <w:uiPriority w:val="0"/>
    <w:pPr>
      <w:numPr>
        <w:ilvl w:val="5"/>
      </w:numPr>
      <w:outlineLvl w:val="5"/>
    </w:pPr>
  </w:style>
  <w:style w:type="paragraph" w:customStyle="1" w:styleId="18">
    <w:name w:val="附录图标号"/>
    <w:basedOn w:val="1"/>
    <w:qFormat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9">
    <w:name w:val="附录图标题"/>
    <w:basedOn w:val="1"/>
    <w:next w:val="10"/>
    <w:qFormat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0">
    <w:name w:val="附录五级条标题"/>
    <w:basedOn w:val="17"/>
    <w:next w:val="10"/>
    <w:qFormat/>
    <w:uiPriority w:val="0"/>
    <w:pPr>
      <w:numPr>
        <w:ilvl w:val="6"/>
      </w:numPr>
      <w:outlineLvl w:val="6"/>
    </w:pPr>
  </w:style>
  <w:style w:type="paragraph" w:customStyle="1" w:styleId="21">
    <w:name w:val="附录章标题"/>
    <w:next w:val="10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附录一级条标题"/>
    <w:basedOn w:val="21"/>
    <w:next w:val="10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2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bsharetext"/>
    <w:basedOn w:val="6"/>
    <w:uiPriority w:val="0"/>
  </w:style>
  <w:style w:type="character" w:customStyle="1" w:styleId="27">
    <w:name w:val="tit11"/>
    <w:basedOn w:val="6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292</Words>
  <Characters>1665</Characters>
  <Lines>13</Lines>
  <Paragraphs>3</Paragraphs>
  <TotalTime>1</TotalTime>
  <ScaleCrop>false</ScaleCrop>
  <LinksUpToDate>false</LinksUpToDate>
  <CharactersWithSpaces>1954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2019-09-05T03:11:00Z</dcterms:created>
  <dc:creator>AutoBVT</dc:creator>
  <cp:lastModifiedBy>Administrator</cp:lastModifiedBy>
  <dcterms:modified xsi:type="dcterms:W3CDTF">2019-09-09T00:14:46Z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