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                     </w:t>
      </w:r>
    </w:p>
    <w:p>
      <w:pPr>
        <w:pStyle w:val="10"/>
        <w:ind w:firstLine="0" w:firstLineChars="0"/>
        <w:jc w:val="center"/>
        <w:rPr>
          <w:rFonts w:ascii="黑体" w:hAnsi="黑体" w:eastAsia="黑体"/>
          <w:sz w:val="28"/>
          <w:szCs w:val="28"/>
        </w:rPr>
      </w:pPr>
    </w:p>
    <w:p>
      <w:pPr>
        <w:pStyle w:val="10"/>
        <w:ind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                </w:t>
      </w:r>
      <w:r>
        <w:rPr>
          <w:rFonts w:ascii="黑体" w:hAnsi="黑体" w:eastAsia="黑体"/>
          <w:sz w:val="28"/>
          <w:szCs w:val="28"/>
          <w:lang w:val="en-US" w:eastAsia="zh-CN"/>
        </w:rPr>
        <w:t>TE410200NYNC000001300012020800001</w:t>
      </w:r>
    </w:p>
    <w:p>
      <w:pPr>
        <w:pStyle w:val="10"/>
        <w:ind w:firstLine="0" w:firstLineChars="0"/>
        <w:jc w:val="center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  <w:lang w:val="en-US" w:eastAsia="zh-CN"/>
        </w:rPr>
        <w:t>动物和动物产品无害化处理场、动物隔离场所动物防疫条件合格证核发（设立）</w:t>
      </w:r>
      <w:r>
        <w:rPr>
          <w:rFonts w:hint="eastAsia" w:ascii="黑体" w:hAnsi="黑体" w:eastAsia="黑体"/>
          <w:sz w:val="52"/>
          <w:szCs w:val="52"/>
        </w:rPr>
        <w:t>服务指南</w:t>
      </w: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422"/>
        <w:jc w:val="center"/>
        <w:rPr>
          <w:b/>
          <w:szCs w:val="21"/>
          <w:u w:val="thick"/>
        </w:rPr>
      </w:pPr>
      <w:r>
        <w:rPr>
          <w:rFonts w:hint="eastAsia"/>
          <w:b/>
          <w:szCs w:val="21"/>
          <w:u w:val="thick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thick"/>
        </w:rPr>
        <w:t>201</w:t>
      </w:r>
      <w:r>
        <w:rPr>
          <w:rFonts w:ascii="黑体" w:hAnsi="黑体" w:eastAsia="黑体"/>
          <w:sz w:val="28"/>
          <w:szCs w:val="28"/>
          <w:u w:val="thick"/>
        </w:rPr>
        <w:t>9</w:t>
      </w:r>
      <w:r>
        <w:rPr>
          <w:rFonts w:hint="eastAsia" w:ascii="黑体" w:hAnsi="黑体" w:eastAsia="黑体"/>
          <w:sz w:val="28"/>
          <w:szCs w:val="28"/>
          <w:u w:val="thick"/>
        </w:rPr>
        <w:t>-</w:t>
      </w:r>
      <w:r>
        <w:rPr>
          <w:rFonts w:ascii="黑体" w:hAnsi="黑体" w:eastAsia="黑体"/>
          <w:sz w:val="28"/>
          <w:szCs w:val="28"/>
          <w:u w:val="thick"/>
        </w:rPr>
        <w:t>6</w:t>
      </w:r>
      <w:r>
        <w:rPr>
          <w:rFonts w:hint="eastAsia" w:ascii="黑体" w:hAnsi="黑体" w:eastAsia="黑体"/>
          <w:sz w:val="28"/>
          <w:szCs w:val="28"/>
          <w:u w:val="thick"/>
        </w:rPr>
        <w:t>-</w:t>
      </w:r>
      <w:r>
        <w:rPr>
          <w:rFonts w:ascii="黑体" w:hAnsi="黑体" w:eastAsia="黑体"/>
          <w:sz w:val="28"/>
          <w:szCs w:val="28"/>
          <w:u w:val="thick"/>
        </w:rPr>
        <w:t>01</w:t>
      </w:r>
      <w:r>
        <w:rPr>
          <w:rFonts w:hint="eastAsia" w:ascii="黑体" w:hAnsi="黑体" w:eastAsia="黑体"/>
          <w:sz w:val="28"/>
          <w:szCs w:val="28"/>
          <w:u w:val="thick"/>
        </w:rPr>
        <w:t>发布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rFonts w:hint="eastAsia"/>
          <w:szCs w:val="21"/>
          <w:u w:val="thick"/>
        </w:rPr>
        <w:t xml:space="preserve">                                </w:t>
      </w:r>
      <w:r>
        <w:rPr>
          <w:rFonts w:hint="eastAsia" w:ascii="黑体" w:hAnsi="黑体" w:eastAsia="黑体"/>
          <w:sz w:val="28"/>
          <w:szCs w:val="28"/>
          <w:u w:val="thick"/>
        </w:rPr>
        <w:t>201</w:t>
      </w:r>
      <w:r>
        <w:rPr>
          <w:rFonts w:ascii="黑体" w:hAnsi="黑体" w:eastAsia="黑体"/>
          <w:sz w:val="28"/>
          <w:szCs w:val="28"/>
          <w:u w:val="thick"/>
        </w:rPr>
        <w:t>9</w:t>
      </w:r>
      <w:r>
        <w:rPr>
          <w:rFonts w:hint="eastAsia" w:ascii="黑体" w:hAnsi="黑体" w:eastAsia="黑体"/>
          <w:sz w:val="28"/>
          <w:szCs w:val="28"/>
          <w:u w:val="thick"/>
        </w:rPr>
        <w:t>-</w:t>
      </w:r>
      <w:r>
        <w:rPr>
          <w:rFonts w:ascii="黑体" w:hAnsi="黑体" w:eastAsia="黑体"/>
          <w:sz w:val="28"/>
          <w:szCs w:val="28"/>
          <w:u w:val="thick"/>
        </w:rPr>
        <w:t>7</w:t>
      </w:r>
      <w:r>
        <w:rPr>
          <w:rFonts w:hint="eastAsia" w:ascii="黑体" w:hAnsi="黑体" w:eastAsia="黑体"/>
          <w:sz w:val="28"/>
          <w:szCs w:val="28"/>
          <w:u w:val="thick"/>
        </w:rPr>
        <w:t>-01实施</w:t>
      </w:r>
      <w:r>
        <w:rPr>
          <w:rFonts w:hint="eastAsia"/>
          <w:szCs w:val="21"/>
          <w:u w:val="thick"/>
        </w:rPr>
        <w:t xml:space="preserve"> </w:t>
      </w: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ind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开封市农业农村局   发布</w:t>
      </w:r>
    </w:p>
    <w:p>
      <w:pPr>
        <w:pStyle w:val="10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10"/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动物和动物产品无害化处理场、动物隔离场所动物防疫条件合格证核发（设立）</w:t>
      </w:r>
      <w:r>
        <w:rPr>
          <w:rFonts w:hint="eastAsia" w:ascii="黑体" w:hAnsi="黑体" w:eastAsia="黑体"/>
          <w:sz w:val="32"/>
          <w:szCs w:val="32"/>
        </w:rPr>
        <w:t>服务指南</w:t>
      </w:r>
    </w:p>
    <w:p>
      <w:pPr>
        <w:pStyle w:val="10"/>
        <w:ind w:firstLine="562"/>
        <w:jc w:val="center"/>
        <w:rPr>
          <w:b/>
          <w:sz w:val="28"/>
          <w:szCs w:val="28"/>
        </w:rPr>
      </w:pPr>
    </w:p>
    <w:p>
      <w:pPr>
        <w:pStyle w:val="10"/>
        <w:numPr>
          <w:ilvl w:val="0"/>
          <w:numId w:val="4"/>
        </w:numPr>
        <w:spacing w:before="156" w:beforeLines="50" w:after="156" w:afterLines="50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事项编码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TE410200NYNC000001300012020800001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二、适用范围</w:t>
      </w:r>
    </w:p>
    <w:p>
      <w:pPr>
        <w:pStyle w:val="10"/>
        <w:spacing w:before="156" w:beforeLines="50" w:after="156" w:afterLines="50"/>
        <w:jc w:val="left"/>
      </w:pPr>
      <w:r>
        <w:rPr>
          <w:rFonts w:hint="eastAsia"/>
        </w:rPr>
        <w:t>涉及内容：适用于本行政区域内</w:t>
      </w:r>
      <w:r>
        <w:rPr>
          <w:rFonts w:hint="eastAsia"/>
          <w:lang w:val="en-US" w:eastAsia="zh-CN"/>
        </w:rPr>
        <w:t>动物和动物产品无害化处理场、动物隔离场所动物防疫条件合格证</w:t>
      </w:r>
      <w:r>
        <w:rPr>
          <w:rFonts w:hint="eastAsia"/>
        </w:rPr>
        <w:t>的申请与受理</w:t>
      </w:r>
    </w:p>
    <w:p>
      <w:pPr>
        <w:pStyle w:val="10"/>
        <w:spacing w:before="156" w:beforeLines="50" w:after="156" w:afterLines="50"/>
        <w:jc w:val="left"/>
      </w:pPr>
      <w:r>
        <w:rPr>
          <w:rFonts w:hint="eastAsia"/>
        </w:rPr>
        <w:t>适用对象：法人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三、事项类型</w:t>
      </w:r>
    </w:p>
    <w:p>
      <w:pPr>
        <w:pStyle w:val="10"/>
        <w:spacing w:before="156" w:beforeLines="50" w:after="156" w:afterLines="50"/>
        <w:ind w:firstLine="424" w:firstLineChars="202"/>
      </w:pPr>
      <w:r>
        <w:rPr>
          <w:rFonts w:hint="eastAsia"/>
        </w:rPr>
        <w:t>行政许可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四、设立依据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《中华人民共和国动物防疫法》（1997年7月3日主席令第八十七号，2015年4月24日予以修改）第二十条：兴办动物饲养场（养殖小区）和隔离场所，动物屠宰加工场所，以及动物和动物产品无害化处理场所，应当向县级以上地方人民政府兽医主管部门提出申请……经审查合格的，发给动物防疫条件合格证；不合格的，应当通知申请人并说明理由。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五、受理机构</w:t>
      </w:r>
    </w:p>
    <w:p>
      <w:pPr>
        <w:pStyle w:val="10"/>
        <w:spacing w:before="156" w:beforeLines="50" w:after="156" w:afterLines="50"/>
        <w:ind w:firstLine="424" w:firstLineChars="202"/>
      </w:pPr>
      <w:r>
        <w:rPr>
          <w:rFonts w:hint="eastAsia"/>
        </w:rPr>
        <w:t>开封市农业农村局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六、决定机构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开封市农业农村局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七、办理条件</w:t>
      </w:r>
    </w:p>
    <w:p>
      <w:pPr>
        <w:pStyle w:val="10"/>
        <w:spacing w:before="156" w:beforeLines="50" w:after="156" w:afterLines="50"/>
        <w:rPr>
          <w:rFonts w:hint="eastAsia" w:eastAsia="宋体"/>
          <w:lang w:val="en-US" w:eastAsia="zh-CN"/>
        </w:rPr>
      </w:pPr>
      <w:r>
        <w:rPr>
          <w:rFonts w:hint="eastAsia"/>
        </w:rPr>
        <w:t>动物和动物产品无害化处理场所选址应当符合下列条件：（一）距离动物养殖场、养殖小区、种畜禽场、动物屠宰加工场所、动物隔离场所、动物诊疗场所、动物和动物产品集贸市场、生活饮用水源地3000米以上；（二）距离城镇居民区、文化教育科研等人口集中区域及公路、铁路等主要交通干线500米以上。 动物和动物产品无害化处理场所布局应当符合下列条件：（一）场区周围建有围墙；（二）场区出入口处设置与门同宽，长4米、深0.3米以上的消毒池，并设有单独的人员消毒通道；（三）无害化处理区与生活办公区分开，并有隔离设施；（四）无害化处理区内设置染疫动物扑杀间、无害化处理间、冷库等；（五）动物扑杀间、无害化处理间入口处设置人员更衣室，出口处设置消毒室。 动物和动物产品无害化处理场所应当具有下列设施设备：（一）配置机动消毒设备；（二）动物扑杀间、无害化处理间等配备相应规模的无害化处理、污水污物处理设施设备；（三）有运输动物和动物产品的专用密闭车辆</w:t>
      </w:r>
      <w:r>
        <w:rPr>
          <w:rFonts w:hint="eastAsia"/>
          <w:lang w:val="en-US" w:eastAsia="zh-CN"/>
        </w:rPr>
        <w:t>。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无审批</w:t>
      </w:r>
      <w:r>
        <w:t>数量</w:t>
      </w:r>
      <w:r>
        <w:rPr>
          <w:rFonts w:hint="eastAsia"/>
        </w:rPr>
        <w:t>的限制。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八、申办材料</w:t>
      </w:r>
    </w:p>
    <w:p>
      <w:pPr>
        <w:pStyle w:val="10"/>
        <w:spacing w:before="156" w:beforeLines="50" w:after="156" w:afterLines="50"/>
        <w:ind w:firstLine="424" w:firstLineChars="202"/>
      </w:pPr>
      <w:r>
        <w:rPr>
          <w:rFonts w:hint="eastAsia"/>
        </w:rPr>
        <w:t>申办材料应符合以下要求：</w:t>
      </w:r>
    </w:p>
    <w:tbl>
      <w:tblPr>
        <w:tblStyle w:val="5"/>
        <w:tblW w:w="908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767"/>
        <w:gridCol w:w="1276"/>
        <w:gridCol w:w="666"/>
        <w:gridCol w:w="666"/>
        <w:gridCol w:w="1154"/>
        <w:gridCol w:w="18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76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提交材料名称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原件/复印件</w:t>
            </w: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份数</w:t>
            </w:r>
          </w:p>
        </w:tc>
        <w:tc>
          <w:tcPr>
            <w:tcW w:w="115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纸质/电子版</w:t>
            </w:r>
          </w:p>
        </w:tc>
        <w:tc>
          <w:tcPr>
            <w:tcW w:w="18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76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动物防疫条件合格证申请表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</w:t>
            </w: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</w:t>
            </w:r>
          </w:p>
        </w:tc>
        <w:tc>
          <w:tcPr>
            <w:tcW w:w="18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加盖申请</w:t>
            </w:r>
            <w:r>
              <w:rPr>
                <w:sz w:val="18"/>
                <w:szCs w:val="18"/>
              </w:rPr>
              <w:t>单位公章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76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动物防疫条件自查表、场所地理位置图、各功能区布局平面图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</w:t>
            </w: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</w:t>
            </w:r>
          </w:p>
        </w:tc>
        <w:tc>
          <w:tcPr>
            <w:tcW w:w="18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加盖申请</w:t>
            </w:r>
            <w:r>
              <w:rPr>
                <w:sz w:val="18"/>
                <w:szCs w:val="18"/>
              </w:rPr>
              <w:t>单位公章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76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设施设备清单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</w:t>
            </w: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</w:t>
            </w:r>
          </w:p>
        </w:tc>
        <w:tc>
          <w:tcPr>
            <w:tcW w:w="18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加盖申请</w:t>
            </w:r>
            <w:r>
              <w:rPr>
                <w:sz w:val="18"/>
                <w:szCs w:val="18"/>
              </w:rPr>
              <w:t>单位公章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76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管理制度文件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</w:t>
            </w: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</w:t>
            </w:r>
          </w:p>
        </w:tc>
        <w:tc>
          <w:tcPr>
            <w:tcW w:w="18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加盖申请</w:t>
            </w:r>
            <w:r>
              <w:rPr>
                <w:sz w:val="18"/>
                <w:szCs w:val="18"/>
              </w:rPr>
              <w:t>单位公章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76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工商营业执照复印件和人员名单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</w:t>
            </w: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</w:t>
            </w:r>
          </w:p>
        </w:tc>
        <w:tc>
          <w:tcPr>
            <w:tcW w:w="18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加盖申请</w:t>
            </w:r>
            <w:r>
              <w:rPr>
                <w:sz w:val="18"/>
                <w:szCs w:val="18"/>
              </w:rPr>
              <w:t>单位公章</w:t>
            </w:r>
          </w:p>
        </w:tc>
      </w:tr>
    </w:tbl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九、受理方式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（一）窗口受理：开封</w:t>
      </w:r>
      <w:r>
        <w:t>市</w:t>
      </w:r>
      <w:r>
        <w:rPr>
          <w:rFonts w:hint="eastAsia"/>
        </w:rPr>
        <w:t>民</w:t>
      </w:r>
      <w:r>
        <w:t>之家</w:t>
      </w:r>
      <w:r>
        <w:rPr>
          <w:rFonts w:hint="eastAsia"/>
        </w:rPr>
        <w:t>政务服务大厅提交申办材料。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（二）网上申报：登录开封</w:t>
      </w:r>
      <w:r>
        <w:t>市</w:t>
      </w:r>
      <w:r>
        <w:rPr>
          <w:rFonts w:hint="eastAsia"/>
        </w:rPr>
        <w:t>政务服务网（http://kf.hnzwfw.gov.cn/）按照提示进行网上申报。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十、办理流程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（一）受理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综合受理窗口对申请材料进行审查，能当场予以确认的，应当场出具受理通知书；不能当场确认的，自收到申请材料之日起5个工作日内作出是否受理的决定；不符合规定的，向申请单位出具不予受理通知书。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（二）审查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审批机关依据审批材料进行审查，履行审批程序；符合条件的，予以审批；不符合条件的，不予办理审批，并书面说明理由。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（三）决定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审查通过的，颁发《</w:t>
      </w:r>
      <w:r>
        <w:rPr>
          <w:rFonts w:hint="eastAsia"/>
          <w:lang w:eastAsia="zh-CN"/>
        </w:rPr>
        <w:t>动物防疫条件合格证</w:t>
      </w:r>
      <w:r>
        <w:rPr>
          <w:rFonts w:hint="eastAsia"/>
        </w:rPr>
        <w:t>》。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十一、办理时限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（一）法定时限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自受理之日起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个工作日。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（二)承诺时限</w:t>
      </w:r>
      <w:bookmarkStart w:id="0" w:name="_GoBack"/>
      <w:bookmarkEnd w:id="0"/>
    </w:p>
    <w:p>
      <w:pPr>
        <w:pStyle w:val="10"/>
        <w:spacing w:before="156" w:beforeLines="50" w:after="156" w:afterLines="50"/>
      </w:pPr>
      <w:r>
        <w:rPr>
          <w:rFonts w:hint="eastAsia"/>
        </w:rPr>
        <w:t>自受理之日起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个工作日。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十二、收费依据及标准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无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十三、结果送达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自作出决定之日起</w:t>
      </w:r>
      <w:r>
        <w:t>3</w:t>
      </w:r>
      <w:r>
        <w:rPr>
          <w:rFonts w:hint="eastAsia"/>
        </w:rPr>
        <w:t>个工作日内经由现场取件或邮寄方式送达。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十四、行政救济途径与方式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（一）申请人在申请行政许可过程中，依法享有陈述权、申辩权；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（二) 申请人的行政许可申请被驳回的有权要求说明理由；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（三）申请人不服行政许可决定的，有权在收到行政许可决定之日起60日内向开封市人民政府或农业农村部申请行政复议。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十五、咨询方式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（一）现场咨询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开封市民之家二楼B区综合服务大厅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（二）电话咨询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0371-23857108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（三）网上咨询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http://kf.hnzwfw.gov.cn/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十六、监督投诉渠道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（一）现场监督投诉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开封市民之家二楼B区综合服务大厅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（二）电话监督投诉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0371-23</w:t>
      </w:r>
      <w:r>
        <w:t>666621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（三）网上监督投诉</w:t>
      </w:r>
    </w:p>
    <w:p>
      <w:pPr>
        <w:pStyle w:val="10"/>
        <w:spacing w:before="156" w:beforeLines="50" w:after="156" w:afterLines="50"/>
        <w:jc w:val="left"/>
      </w:pPr>
      <w:r>
        <w:rPr>
          <w:rFonts w:hint="eastAsia"/>
        </w:rPr>
        <w:t>http://kf.hnzwfw.gov.cn/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十七、办理地址和时间</w:t>
      </w:r>
    </w:p>
    <w:p>
      <w:pPr>
        <w:pStyle w:val="10"/>
        <w:spacing w:before="156" w:beforeLines="50" w:after="156" w:afterLines="50"/>
        <w:ind w:firstLine="424" w:firstLineChars="202"/>
      </w:pPr>
      <w:r>
        <w:rPr>
          <w:rFonts w:hint="eastAsia"/>
        </w:rPr>
        <w:t>地址：郑开大道与三大街交叉口，27路、30路、39路、56路公交车，开封市民之家二楼B区综合受理窗口</w:t>
      </w:r>
    </w:p>
    <w:p>
      <w:pPr>
        <w:pStyle w:val="10"/>
        <w:spacing w:before="156" w:beforeLines="50" w:after="156" w:afterLines="50"/>
        <w:ind w:firstLine="424" w:firstLineChars="202"/>
      </w:pPr>
      <w:r>
        <w:rPr>
          <w:rFonts w:hint="eastAsia"/>
        </w:rPr>
        <w:t>时间：周一至周五，上午9:00-12:00；下午13:00-17:00</w:t>
      </w:r>
    </w:p>
    <w:p>
      <w:pPr>
        <w:pStyle w:val="10"/>
        <w:spacing w:before="156" w:beforeLines="50" w:after="156" w:afterLines="5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十八、办理进程和结果查询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（一）办理进程查询方式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1.现场查询：开封市民之家二楼B区综合服务大厅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2.电话查询：0371-23857108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3.网上查询：http://kf.hnzwfw.gov.cn/</w:t>
      </w:r>
    </w:p>
    <w:p>
      <w:pPr>
        <w:pStyle w:val="10"/>
        <w:spacing w:before="156" w:beforeLines="50" w:after="156" w:afterLines="50"/>
        <w:ind w:firstLine="283" w:firstLineChars="135"/>
      </w:pPr>
      <w:r>
        <w:rPr>
          <w:rFonts w:hint="eastAsia"/>
        </w:rPr>
        <w:t>（二）结果公开查询方式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1.现场查询：开封市民之家二楼B区综合服务大厅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2.电话查询：0371-23857108</w:t>
      </w:r>
    </w:p>
    <w:p>
      <w:pPr>
        <w:pStyle w:val="10"/>
        <w:spacing w:before="156" w:beforeLines="50" w:after="156" w:afterLines="50"/>
      </w:pPr>
      <w:r>
        <w:rPr>
          <w:rFonts w:hint="eastAsia"/>
        </w:rPr>
        <w:t>3.网上查询：http://kf.hnzwfw.gov.cn/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6C785"/>
    <w:multiLevelType w:val="singleLevel"/>
    <w:tmpl w:val="90B6C7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8F7113"/>
    <w:multiLevelType w:val="multilevel"/>
    <w:tmpl w:val="2A8F7113"/>
    <w:lvl w:ilvl="0" w:tentative="0">
      <w:start w:val="1"/>
      <w:numFmt w:val="upperLetter"/>
      <w:pStyle w:val="18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9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60B55DC2"/>
    <w:multiLevelType w:val="multilevel"/>
    <w:tmpl w:val="60B55DC2"/>
    <w:lvl w:ilvl="0" w:tentative="0">
      <w:start w:val="1"/>
      <w:numFmt w:val="upperLetter"/>
      <w:pStyle w:val="13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1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12"/>
    <w:rsid w:val="000042B1"/>
    <w:rsid w:val="00080771"/>
    <w:rsid w:val="00095CF5"/>
    <w:rsid w:val="000A4712"/>
    <w:rsid w:val="000B0092"/>
    <w:rsid w:val="000C75BF"/>
    <w:rsid w:val="000C75E5"/>
    <w:rsid w:val="000F5745"/>
    <w:rsid w:val="000F73B5"/>
    <w:rsid w:val="00103238"/>
    <w:rsid w:val="0016312A"/>
    <w:rsid w:val="00182BF5"/>
    <w:rsid w:val="001A6F50"/>
    <w:rsid w:val="001C435A"/>
    <w:rsid w:val="00202D7F"/>
    <w:rsid w:val="002A73A4"/>
    <w:rsid w:val="002D6D99"/>
    <w:rsid w:val="00327DC9"/>
    <w:rsid w:val="003611D9"/>
    <w:rsid w:val="00374D1C"/>
    <w:rsid w:val="00394A41"/>
    <w:rsid w:val="003D1C8B"/>
    <w:rsid w:val="003F5B2A"/>
    <w:rsid w:val="004A2C37"/>
    <w:rsid w:val="00521036"/>
    <w:rsid w:val="005336A0"/>
    <w:rsid w:val="005500D5"/>
    <w:rsid w:val="00594BFB"/>
    <w:rsid w:val="00597724"/>
    <w:rsid w:val="005A2F32"/>
    <w:rsid w:val="006133E5"/>
    <w:rsid w:val="0062066D"/>
    <w:rsid w:val="00620891"/>
    <w:rsid w:val="00626F62"/>
    <w:rsid w:val="006B4730"/>
    <w:rsid w:val="00761AB6"/>
    <w:rsid w:val="00771E36"/>
    <w:rsid w:val="00781E1F"/>
    <w:rsid w:val="007A0FC7"/>
    <w:rsid w:val="007B48BF"/>
    <w:rsid w:val="007D5A25"/>
    <w:rsid w:val="008543D3"/>
    <w:rsid w:val="00906D35"/>
    <w:rsid w:val="009249C0"/>
    <w:rsid w:val="009745A9"/>
    <w:rsid w:val="009E3461"/>
    <w:rsid w:val="009F0060"/>
    <w:rsid w:val="00A10B55"/>
    <w:rsid w:val="00A45A1B"/>
    <w:rsid w:val="00A51FF2"/>
    <w:rsid w:val="00A97985"/>
    <w:rsid w:val="00AD06A5"/>
    <w:rsid w:val="00AF4930"/>
    <w:rsid w:val="00B81AF4"/>
    <w:rsid w:val="00BD4FC8"/>
    <w:rsid w:val="00C15389"/>
    <w:rsid w:val="00C4325D"/>
    <w:rsid w:val="00C52E0E"/>
    <w:rsid w:val="00CC012C"/>
    <w:rsid w:val="00CC71F8"/>
    <w:rsid w:val="00D109E3"/>
    <w:rsid w:val="00D16262"/>
    <w:rsid w:val="00D32298"/>
    <w:rsid w:val="00D410CE"/>
    <w:rsid w:val="00D94025"/>
    <w:rsid w:val="00DB0366"/>
    <w:rsid w:val="00E04F1B"/>
    <w:rsid w:val="00E32AB7"/>
    <w:rsid w:val="00E51599"/>
    <w:rsid w:val="00E635C9"/>
    <w:rsid w:val="00EF3E07"/>
    <w:rsid w:val="00F8078F"/>
    <w:rsid w:val="00F92E21"/>
    <w:rsid w:val="00FB2D53"/>
    <w:rsid w:val="00FB2DE7"/>
    <w:rsid w:val="00FC4F39"/>
    <w:rsid w:val="00FE03A6"/>
    <w:rsid w:val="16AC4D9F"/>
    <w:rsid w:val="203D6FA3"/>
    <w:rsid w:val="21FB687E"/>
    <w:rsid w:val="372979E6"/>
    <w:rsid w:val="37342810"/>
    <w:rsid w:val="3A0C02EC"/>
    <w:rsid w:val="4FAB1E9A"/>
    <w:rsid w:val="59D637E3"/>
    <w:rsid w:val="59E65B21"/>
    <w:rsid w:val="608F4F8D"/>
    <w:rsid w:val="69DB3DDE"/>
    <w:rsid w:val="7E1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color w:val="666666"/>
    </w:rPr>
  </w:style>
  <w:style w:type="character" w:styleId="8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0000"/>
      <w:sz w:val="14"/>
      <w:szCs w:val="14"/>
      <w:u w:val="none"/>
    </w:rPr>
  </w:style>
  <w:style w:type="paragraph" w:customStyle="1" w:styleId="10">
    <w:name w:val="段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段 Char"/>
    <w:basedOn w:val="6"/>
    <w:link w:val="10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2">
    <w:name w:val="附录标识"/>
    <w:basedOn w:val="1"/>
    <w:next w:val="10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">
    <w:name w:val="附录表标号"/>
    <w:basedOn w:val="1"/>
    <w:next w:val="10"/>
    <w:qFormat/>
    <w:uiPriority w:val="0"/>
    <w:pPr>
      <w:numPr>
        <w:ilvl w:val="0"/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4">
    <w:name w:val="附录表标题"/>
    <w:basedOn w:val="1"/>
    <w:next w:val="10"/>
    <w:uiPriority w:val="0"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5">
    <w:name w:val="附录二级条标题"/>
    <w:basedOn w:val="1"/>
    <w:next w:val="10"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6">
    <w:name w:val="附录三级条标题"/>
    <w:basedOn w:val="15"/>
    <w:next w:val="10"/>
    <w:uiPriority w:val="0"/>
    <w:pPr>
      <w:numPr>
        <w:ilvl w:val="4"/>
      </w:numPr>
      <w:outlineLvl w:val="4"/>
    </w:pPr>
  </w:style>
  <w:style w:type="paragraph" w:customStyle="1" w:styleId="17">
    <w:name w:val="附录四级条标题"/>
    <w:basedOn w:val="16"/>
    <w:next w:val="10"/>
    <w:uiPriority w:val="0"/>
    <w:pPr>
      <w:numPr>
        <w:ilvl w:val="5"/>
      </w:numPr>
      <w:outlineLvl w:val="5"/>
    </w:pPr>
  </w:style>
  <w:style w:type="paragraph" w:customStyle="1" w:styleId="18">
    <w:name w:val="附录图标号"/>
    <w:basedOn w:val="1"/>
    <w:uiPriority w:val="0"/>
    <w:pPr>
      <w:keepNext/>
      <w:pageBreakBefore/>
      <w:widowControl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9">
    <w:name w:val="附录图标题"/>
    <w:basedOn w:val="1"/>
    <w:next w:val="10"/>
    <w:uiPriority w:val="0"/>
    <w:pPr>
      <w:numPr>
        <w:ilvl w:val="1"/>
        <w:numId w:val="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20">
    <w:name w:val="附录五级条标题"/>
    <w:basedOn w:val="17"/>
    <w:next w:val="10"/>
    <w:uiPriority w:val="0"/>
    <w:pPr>
      <w:numPr>
        <w:ilvl w:val="6"/>
      </w:numPr>
      <w:outlineLvl w:val="6"/>
    </w:pPr>
  </w:style>
  <w:style w:type="paragraph" w:customStyle="1" w:styleId="21">
    <w:name w:val="附录章标题"/>
    <w:next w:val="10"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2">
    <w:name w:val="附录一级条标题"/>
    <w:basedOn w:val="21"/>
    <w:next w:val="10"/>
    <w:uiPriority w:val="0"/>
    <w:pPr>
      <w:numPr>
        <w:ilvl w:val="2"/>
      </w:numPr>
      <w:autoSpaceDN w:val="0"/>
      <w:spacing w:beforeLines="50" w:afterLines="50"/>
      <w:outlineLvl w:val="2"/>
    </w:pPr>
  </w:style>
  <w:style w:type="character" w:customStyle="1" w:styleId="23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bsharetext"/>
    <w:basedOn w:val="6"/>
    <w:uiPriority w:val="0"/>
  </w:style>
  <w:style w:type="character" w:customStyle="1" w:styleId="27">
    <w:name w:val="tit11"/>
    <w:basedOn w:val="6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292</Words>
  <Characters>1665</Characters>
  <Lines>13</Lines>
  <Paragraphs>3</Paragraphs>
  <TotalTime>2</TotalTime>
  <ScaleCrop>false</ScaleCrop>
  <LinksUpToDate>false</LinksUpToDate>
  <CharactersWithSpaces>1954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2019-09-05T03:11:00Z</dcterms:created>
  <dc:creator>AutoBVT</dc:creator>
  <cp:lastModifiedBy>Administrator</cp:lastModifiedBy>
  <dcterms:modified xsi:type="dcterms:W3CDTF">2019-09-09T00:47:17Z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