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8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  <w:lang w:eastAsia="zh-CN"/>
        </w:rPr>
      </w:pPr>
    </w:p>
    <w:p w14:paraId="386D6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 w14:paraId="0127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w w:val="90"/>
          <w:sz w:val="44"/>
          <w:szCs w:val="44"/>
        </w:rPr>
      </w:pPr>
    </w:p>
    <w:p w14:paraId="1B57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-20"/>
          <w:sz w:val="72"/>
          <w:szCs w:val="7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0"/>
          <w:sz w:val="44"/>
          <w:szCs w:val="44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b w:val="0"/>
          <w:bCs w:val="0"/>
          <w:w w:val="90"/>
          <w:sz w:val="44"/>
          <w:szCs w:val="44"/>
          <w:lang w:val="en-US" w:eastAsia="zh-CN"/>
        </w:rPr>
        <w:t xml:space="preserve"> </w:t>
      </w:r>
    </w:p>
    <w:p w14:paraId="5D28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-334" w:rightChars="-159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</w:p>
    <w:p w14:paraId="584606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</w:p>
    <w:p w14:paraId="6996982D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鼓文〔202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号</w:t>
      </w:r>
    </w:p>
    <w:p w14:paraId="2CAF4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57930F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6"/>
          <w:sz w:val="44"/>
          <w:szCs w:val="44"/>
          <w:shd w:val="clear" w:color="auto" w:fill="FFFFFF"/>
          <w:lang w:val="en-US" w:eastAsia="zh-CN"/>
        </w:rPr>
        <w:t>中共鼓楼区委  鼓楼区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6"/>
          <w:sz w:val="44"/>
          <w:szCs w:val="44"/>
          <w:shd w:val="clear" w:color="auto" w:fill="FFFFFF"/>
        </w:rPr>
        <w:t>人民政府</w:t>
      </w:r>
    </w:p>
    <w:p w14:paraId="437FB0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关于2024年法治政府建设情况的报告</w:t>
      </w:r>
    </w:p>
    <w:p w14:paraId="390237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37544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市委、市人大、市政府：</w:t>
      </w:r>
    </w:p>
    <w:p w14:paraId="7D43E2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年，鼓楼区坚持以习近平新时代中国特色社会主义思想为指导，践行习近平法治思想，深入学习贯彻党的二十大和二十届二中、三中全会精神，认真落实市委、市政府的法治政府建设工作部署，以法治思维推进各项工作，为经济社会发展提供有力法治保障。现将有关情况报告如下。</w:t>
      </w:r>
    </w:p>
    <w:p w14:paraId="4B509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一、加强组织领导</w:t>
      </w:r>
    </w:p>
    <w:p w14:paraId="695CE7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切实履行法治建设第一责任人职责。党政主要负责人在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区委常委会议、区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政府常务会议上听取法治建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设汇报并研究部署工作6次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落实领导干部常态化学法制度。区政府常务会议学法5次，举办领导干部法治专题培训班2期。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统筹推进法治政府建设。印发《关于2023年度全面依法治区考核情况的通报》《鼓楼区2024年度法治政府建设重点工作任务》等文件，着力推动法治政府建设实现新突破。</w:t>
      </w:r>
    </w:p>
    <w:p w14:paraId="797423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二、主要举措和成效</w:t>
      </w:r>
    </w:p>
    <w:p w14:paraId="477ACE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（一）持续完善政府职责体系。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深化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“放管服”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改革。</w:t>
      </w:r>
      <w:r>
        <w:rPr>
          <w:rFonts w:hint="eastAsia" w:ascii="Times New Roman" w:hAnsi="Times New Roman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lang w:val="en-US" w:eastAsia="zh-CN" w:bidi="ar"/>
        </w:rPr>
        <w:t>依托一体化在线政务服务平台，推进“高效办成一件事”，实现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“一件事一次办”事项42个，受理业务2800余件；“免证可办”高频事项45个，办理业务12800件；梳理数据资源目录141个，归集政务数据12万余条。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推进信用体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系建设。依托省信用信息共享平台共享数据129056条，实现共享数据全覆盖；上报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“双公示”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信息8523条。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优化法治化营商环境。认真落实公平竞争审查制度，修改、废除妨碍市场公平竞争的政策措施，确保各类市场主体平等参与市场竞争。</w:t>
      </w:r>
    </w:p>
    <w:p w14:paraId="4A78A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（二）坚持科学民主依法决策。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落实重大行政决策程序，制定并在门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户网站公开2024年度重大行政决策事项目录。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加强行政规范性文件管理工作。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审查全区行政红头文件目录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741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件。组织开展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次规范性文件清理工作，清理文件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件，现行有效规范性文件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件。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shd w:val="clear" w:color="auto" w:fill="auto"/>
          <w:lang w:eastAsia="zh-CN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强化党政机关法律顾问工作。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连续四年实现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个党政机关法律顾问全覆盖。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法律顾问发挥作用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19次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，为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政府各项行政决策提供法律意见，助推法律风险防控。</w:t>
      </w:r>
    </w:p>
    <w:p w14:paraId="7DA7B9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（三）推进严格规范公正文明执法。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落实行政执法责任制，扎实推进行政执法“三项制度”。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公示执法数据8195条，其中，行政许可7834条，行政处罚361条；329名执法人员通过年审，注销执法证件16件；区直各单位、各街道配备法制审核人员34人，满足重大执法决定法制审核工作需要。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重大行政处罚备案审查5件。严格行政执法过错责任追究，对我区2件行政败诉案件开展责任追究。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推进街道综合执法改革验收。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我区8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个街道办事处均成立综合执法大队，按照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乡镇（街道）综合行政执法规范化建设要求，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配备执法人员131人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深化服务型行政执法建设。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积极开展证照到期前提醒工作，3家行政执法单位纳入行政许可类提醒服务事项7项，开展提醒服务57次，续证成功率达90%。梳理公示行政相对人违法风险点63条，制定针对性防控措施182条。</w:t>
      </w:r>
    </w:p>
    <w:p w14:paraId="7A0C33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（四）完善突发事件应对体系。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构建上下衔接、左右互通的突发事件应急预案，编制、修订《鼓楼区防汛抗旱应急预案》《鼓楼区突发事件总体应急预案》等应急预案。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健全突发事件处置规程。严格执行“1+N”应急值班值守制度，坚持应急指挥“四统一”，开展应急处突培训2次、应急演练12次，参与人数共计260余人。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引导、规范基层组织参与突发事件应对，完善街道、社区应急处置组织体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系</w:t>
      </w:r>
      <w:r>
        <w:rPr>
          <w:rFonts w:hint="eastAsia" w:ascii="Times New Roman" w:hAnsi="Times New Roman" w:eastAsia="仿宋_GB2312" w:cs="仿宋_GB2312"/>
          <w:b w:val="0"/>
          <w:bCs w:val="0"/>
          <w:strike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4267B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（五）健全矛盾纠纷预防调处化解体系。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做好行政诉讼案件应诉工作。2024年，各级人民法院共审结鼓楼区行政诉讼案件13件，其中败诉2件，行政负责人出庭应诉率达100%。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发挥行政复议实质性化解行政争议主渠道作用。区政府共收到复议申请61件，其中不予受理21件，受理40件，审结37件。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加大调解工作力度。受理行政调解案件3154件，调解成功1151件，调解成功率36.5%；受理人民调解案件918件，调解成功891件，调解成功率97.1%。</w:t>
      </w:r>
    </w:p>
    <w:p w14:paraId="01BF7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（六）强化行政权利制约与监督。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形成监督合力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主动接受党内监督，自觉接受人大监督、民主监督、司法监督和群众监督，强化审计监督。组织实施14个审计项目，审计12家单位，发现56个问题，提出并被采纳审计建议25条，促进有关单位制定完善规章制度10项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严格落实政务公开制度，加强政府信息公开平台建设，确保法定主动公开内容全部公开到位。主动公开各类政府信息1654条，办理依申请信息公开6件，均在规定期限内完成答复。</w:t>
      </w:r>
    </w:p>
    <w:p w14:paraId="48EF9C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（七）做好法治宣传与法律服务保障。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shd w:val="clear" w:color="auto" w:fill="auto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常态化开展法治宣传教育。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以“三八节”妇女维权、“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3·15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”国际消费者权益日等重要节点为契机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突出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习近平法治思想、宪法、民法典、消费者权益保护法等重点内容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开展各类法治宣传活动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220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余场，发放普法宣传材料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5.2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</w:rPr>
        <w:t>万余份。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强化公共法律服务保障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受理法律援助案件135件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，认罪认罚法律帮助案件137件，解答法律咨询1940余人次。我区42个社区实现村居法律顾问全覆盖，有效提升了群众的法治安全感和获得感。</w:t>
      </w:r>
    </w:p>
    <w:p w14:paraId="02122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三、存在不足和整改情况</w:t>
      </w:r>
    </w:p>
    <w:p w14:paraId="3A63A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虽然我区在法治政府建设方面取得了一定成绩，但仍存在一些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不足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，主要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问题是：行政诉讼败诉率较高。存在问题的原因是：执法队伍素质参差不齐，部分执法人员依法行政意识不强。针对该项问题，鼓楼区通过加强执法人员培训，增强依法行政意识，提升执法人员法治素养；优化执法队伍建设，提升执法质量和效能。</w:t>
      </w:r>
    </w:p>
    <w:p w14:paraId="0026A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四、下一步工作安排</w:t>
      </w:r>
    </w:p>
    <w:p w14:paraId="4D356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（一）坚持党对法治政府建设的领导。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习近平法治思想为指导，深入学习贯彻党的二十大和二十届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二中、三中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全会精神，把党的领导切实贯彻到法治政府建设全过程各方面，扎实做好法治政府建设各项工作。</w:t>
      </w:r>
    </w:p>
    <w:p w14:paraId="13741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（二）持续优化法治化营商环境。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持续推进“放管服”改革，贯彻落实《优化营商环境条例》，实行市场准入负面清单和公平竞争审查制度。健全事中事后监管机制，强化信用信息归集应用。简化行政审批流程，提高审批效率。</w:t>
      </w:r>
    </w:p>
    <w:p w14:paraId="6D95260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（三）加强行政执法规范与效能建设。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严格落实《河南省提升行政执法质量三年行动实施方案（2023—2025年）》，通过线上线下培训、“结对子、传帮带”等方式，不断提高执法人员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学法用法能力和业务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水平，提升执法质效。</w:t>
      </w:r>
    </w:p>
    <w:p w14:paraId="25C02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（四）构建矛盾纠纷预防化解多元共治格局。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贯彻实施新修订的行政复议法，推进行政复议规范化建设，提升行政复议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案件办理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质量和效率。完善矛盾纠纷多元化解机制，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逐步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形成行政调解与人民调解、司法调解协调联动的“大调解”工作格局。</w:t>
      </w:r>
    </w:p>
    <w:p w14:paraId="0C40E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6"/>
          <w:sz w:val="32"/>
          <w:szCs w:val="32"/>
          <w:lang w:eastAsia="zh-CN"/>
        </w:rPr>
      </w:pPr>
    </w:p>
    <w:p w14:paraId="2E86F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 w14:paraId="6296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中共鼓楼区委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鼓楼区人民政府</w:t>
      </w:r>
    </w:p>
    <w:p w14:paraId="433A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20" w:firstLineChars="18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681747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3C675AA6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645F6E7C"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7CF651D7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525AB360"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58DEDD00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62853072"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456B4357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0B433263"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4CC23CB8">
      <w:pPr>
        <w:rPr>
          <w:rFonts w:hint="default"/>
          <w:lang w:val="en-US" w:eastAsia="zh-CN"/>
        </w:rPr>
      </w:pPr>
    </w:p>
    <w:p w14:paraId="0A15AE46">
      <w:pPr>
        <w:pBdr>
          <w:bottom w:val="single" w:color="auto" w:sz="4" w:space="0"/>
        </w:pBdr>
        <w:rPr>
          <w:rFonts w:hint="default"/>
        </w:rPr>
      </w:pPr>
    </w:p>
    <w:p w14:paraId="1C2414FA"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开封市司法局</w:t>
      </w:r>
    </w:p>
    <w:p w14:paraId="37FECE26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</w:rPr>
        <w:t xml:space="preserve">中共鼓楼区委办公室      </w:t>
      </w: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23"/>
          <w:kern w:val="10"/>
          <w:sz w:val="30"/>
          <w:szCs w:val="30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23"/>
          <w:kern w:val="1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23"/>
          <w:kern w:val="1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pacing w:val="23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pacing w:val="23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pacing w:val="23"/>
          <w:sz w:val="30"/>
          <w:szCs w:val="30"/>
        </w:rPr>
        <w:t>日印</w:t>
      </w:r>
    </w:p>
    <w:sectPr>
      <w:headerReference r:id="rId3" w:type="default"/>
      <w:footerReference r:id="rId4" w:type="default"/>
      <w:pgSz w:w="11906" w:h="16838"/>
      <w:pgMar w:top="2268" w:right="1474" w:bottom="1757" w:left="1587" w:header="851" w:footer="992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6D3D">
    <w:pPr>
      <w:pStyle w:val="7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6D576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D6D576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7628811">
    <w:pPr>
      <w:pStyle w:val="7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EA08">
    <w:pPr>
      <w:pStyle w:val="8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jdjMGFkYWQwNGEwNmIwYTVjZWI5OWJkYzhhMGYifQ=="/>
  </w:docVars>
  <w:rsids>
    <w:rsidRoot w:val="0B280D50"/>
    <w:rsid w:val="070869F6"/>
    <w:rsid w:val="0B280D50"/>
    <w:rsid w:val="225610A2"/>
    <w:rsid w:val="28E96EB1"/>
    <w:rsid w:val="3D966885"/>
    <w:rsid w:val="599F604C"/>
    <w:rsid w:val="5A56579B"/>
    <w:rsid w:val="669924E4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kern w:val="0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2500</Words>
  <Characters>2634</Characters>
  <Lines>0</Lines>
  <Paragraphs>0</Paragraphs>
  <TotalTime>14</TotalTime>
  <ScaleCrop>false</ScaleCrop>
  <LinksUpToDate>false</LinksUpToDate>
  <CharactersWithSpaces>2683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2023-03-16T03:00:00Z</dcterms:created>
  <dc:creator>azrael</dc:creator>
  <cp:lastModifiedBy>Bad romance</cp:lastModifiedBy>
  <cp:lastPrinted>2025-02-24T09:00:19Z</cp:lastPrinted>
  <dcterms:modified xsi:type="dcterms:W3CDTF">2025-02-24T09:02:33Z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E5B5ABD006784A069C3C02CBC9C00EEA_13</vt:lpwstr>
  </property>
  <property fmtid="{D5CDD505-2E9C-101B-9397-08002B2CF9AE}" pid="4" name="KSOTemplateDocerSaveRecord">
    <vt:lpwstr>eyJoZGlkIjoiZDBlNzJmYjNkYzM0ZTViNGMxMWRkYzVkMDI4OGMwYWYiLCJ1c2VySWQiOiIxOTQ5NjYyMjMifQ==</vt:lpwstr>
  </property>
</Properties>
</file>